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DEE6E" w14:textId="77777777" w:rsidR="003F50E1" w:rsidRDefault="003F50E1" w:rsidP="004977AF">
      <w:pPr>
        <w:widowControl/>
        <w:suppressAutoHyphens/>
        <w:spacing w:after="240"/>
        <w:jc w:val="center"/>
        <w:outlineLvl w:val="0"/>
        <w:rPr>
          <w:sz w:val="26"/>
        </w:rPr>
      </w:pPr>
      <w:r>
        <w:rPr>
          <w:b/>
        </w:rPr>
        <w:t>CONFIDENTIALITY AGREEMENT</w:t>
      </w:r>
    </w:p>
    <w:p w14:paraId="68F0D34A" w14:textId="599C21C3" w:rsidR="003F50E1" w:rsidRPr="00596C80" w:rsidRDefault="00596C80" w:rsidP="004C4B5A">
      <w:pPr>
        <w:spacing w:after="240"/>
        <w:ind w:firstLine="720"/>
        <w:jc w:val="both"/>
        <w:rPr>
          <w:szCs w:val="24"/>
        </w:rPr>
      </w:pPr>
      <w:r>
        <w:rPr>
          <w:szCs w:val="24"/>
        </w:rPr>
        <w:t xml:space="preserve">This Confidentiality Agreement (“Agreement”) is entered into </w:t>
      </w:r>
      <w:r w:rsidR="00145CC4">
        <w:rPr>
          <w:szCs w:val="24"/>
        </w:rPr>
        <w:t xml:space="preserve">as of </w:t>
      </w:r>
      <w:r w:rsidR="00A503B3" w:rsidRPr="00A503B3">
        <w:rPr>
          <w:szCs w:val="24"/>
          <w:highlight w:val="yellow"/>
        </w:rPr>
        <w:t>[•]</w:t>
      </w:r>
      <w:r w:rsidR="00145CC4">
        <w:rPr>
          <w:szCs w:val="24"/>
        </w:rPr>
        <w:t>, 20</w:t>
      </w:r>
      <w:r w:rsidR="00CF3F88">
        <w:rPr>
          <w:szCs w:val="24"/>
        </w:rPr>
        <w:t>20</w:t>
      </w:r>
      <w:r w:rsidR="00145CC4">
        <w:rPr>
          <w:szCs w:val="24"/>
        </w:rPr>
        <w:t xml:space="preserve"> </w:t>
      </w:r>
      <w:r>
        <w:rPr>
          <w:szCs w:val="24"/>
        </w:rPr>
        <w:t xml:space="preserve">by and </w:t>
      </w:r>
      <w:r w:rsidR="003F50E1" w:rsidRPr="00596C80">
        <w:rPr>
          <w:szCs w:val="24"/>
        </w:rPr>
        <w:t xml:space="preserve">between </w:t>
      </w:r>
      <w:r w:rsidR="009347F2">
        <w:rPr>
          <w:szCs w:val="24"/>
        </w:rPr>
        <w:t>W</w:t>
      </w:r>
      <w:r w:rsidR="00D435DA">
        <w:rPr>
          <w:szCs w:val="24"/>
        </w:rPr>
        <w:t xml:space="preserve">ashington </w:t>
      </w:r>
      <w:r w:rsidR="009347F2">
        <w:rPr>
          <w:szCs w:val="24"/>
        </w:rPr>
        <w:t>G</w:t>
      </w:r>
      <w:r w:rsidR="00D435DA">
        <w:rPr>
          <w:szCs w:val="24"/>
        </w:rPr>
        <w:t xml:space="preserve">as </w:t>
      </w:r>
      <w:r w:rsidR="009347F2">
        <w:rPr>
          <w:szCs w:val="24"/>
        </w:rPr>
        <w:t>L</w:t>
      </w:r>
      <w:r w:rsidR="00D435DA">
        <w:rPr>
          <w:szCs w:val="24"/>
        </w:rPr>
        <w:t>ight</w:t>
      </w:r>
      <w:r w:rsidR="009347F2">
        <w:rPr>
          <w:szCs w:val="24"/>
        </w:rPr>
        <w:t xml:space="preserve"> </w:t>
      </w:r>
      <w:r w:rsidR="00D435DA">
        <w:rPr>
          <w:szCs w:val="24"/>
        </w:rPr>
        <w:t>Company</w:t>
      </w:r>
      <w:r w:rsidR="001017CD">
        <w:rPr>
          <w:szCs w:val="24"/>
        </w:rPr>
        <w:t xml:space="preserve">, </w:t>
      </w:r>
      <w:r w:rsidR="00C30395">
        <w:rPr>
          <w:szCs w:val="24"/>
        </w:rPr>
        <w:t xml:space="preserve">a Virginia corporation, </w:t>
      </w:r>
      <w:r w:rsidR="003F50E1" w:rsidRPr="00596C80">
        <w:rPr>
          <w:szCs w:val="24"/>
        </w:rPr>
        <w:t xml:space="preserve">with a principal place of business at </w:t>
      </w:r>
      <w:r w:rsidR="008E0D67">
        <w:rPr>
          <w:color w:val="000000"/>
          <w:szCs w:val="24"/>
        </w:rPr>
        <w:t>10</w:t>
      </w:r>
      <w:r w:rsidR="00D435DA">
        <w:rPr>
          <w:color w:val="000000"/>
          <w:szCs w:val="24"/>
        </w:rPr>
        <w:t>00</w:t>
      </w:r>
      <w:r w:rsidR="008E0D67">
        <w:rPr>
          <w:color w:val="000000"/>
          <w:szCs w:val="24"/>
        </w:rPr>
        <w:t xml:space="preserve"> </w:t>
      </w:r>
      <w:r w:rsidR="00D435DA">
        <w:rPr>
          <w:color w:val="000000"/>
          <w:szCs w:val="24"/>
        </w:rPr>
        <w:t>Maine Ave., SW, Washington, DC 20024</w:t>
      </w:r>
      <w:r w:rsidR="008E0D67">
        <w:rPr>
          <w:color w:val="000000"/>
          <w:szCs w:val="24"/>
        </w:rPr>
        <w:t xml:space="preserve"> </w:t>
      </w:r>
      <w:r w:rsidR="003F50E1" w:rsidRPr="00596C80">
        <w:rPr>
          <w:szCs w:val="24"/>
        </w:rPr>
        <w:t>(“</w:t>
      </w:r>
      <w:r w:rsidR="001017CD">
        <w:rPr>
          <w:szCs w:val="24"/>
        </w:rPr>
        <w:t>WG</w:t>
      </w:r>
      <w:r w:rsidR="003F50E1" w:rsidRPr="00596C80">
        <w:rPr>
          <w:szCs w:val="24"/>
        </w:rPr>
        <w:t xml:space="preserve">”), </w:t>
      </w:r>
      <w:r w:rsidR="003F50E1" w:rsidRPr="00005CE4">
        <w:rPr>
          <w:szCs w:val="24"/>
        </w:rPr>
        <w:t>and</w:t>
      </w:r>
      <w:r w:rsidR="00534FB3" w:rsidRPr="00005CE4">
        <w:rPr>
          <w:szCs w:val="24"/>
        </w:rPr>
        <w:t xml:space="preserve"> </w:t>
      </w:r>
      <w:r w:rsidR="004C4B5A" w:rsidRPr="004C4B5A">
        <w:rPr>
          <w:szCs w:val="24"/>
          <w:highlight w:val="yellow"/>
        </w:rPr>
        <w:t>[•]</w:t>
      </w:r>
      <w:r w:rsidR="00534FB3" w:rsidRPr="00005CE4">
        <w:rPr>
          <w:szCs w:val="24"/>
        </w:rPr>
        <w:t xml:space="preserve">, a </w:t>
      </w:r>
      <w:r w:rsidR="004C4B5A" w:rsidRPr="004C4B5A">
        <w:rPr>
          <w:b/>
          <w:szCs w:val="24"/>
        </w:rPr>
        <w:t>[</w:t>
      </w:r>
      <w:r w:rsidR="004C4B5A" w:rsidRPr="004C4B5A">
        <w:rPr>
          <w:b/>
          <w:szCs w:val="24"/>
          <w:highlight w:val="yellow"/>
        </w:rPr>
        <w:t>Insert State]</w:t>
      </w:r>
      <w:r w:rsidR="00534FB3" w:rsidRPr="00005CE4">
        <w:rPr>
          <w:szCs w:val="24"/>
        </w:rPr>
        <w:t xml:space="preserve"> </w:t>
      </w:r>
      <w:r w:rsidR="004C4B5A" w:rsidRPr="004C4B5A">
        <w:rPr>
          <w:b/>
          <w:szCs w:val="24"/>
          <w:highlight w:val="yellow"/>
        </w:rPr>
        <w:t>[</w:t>
      </w:r>
      <w:r w:rsidR="00534FB3" w:rsidRPr="004C4B5A">
        <w:rPr>
          <w:b/>
          <w:szCs w:val="24"/>
          <w:highlight w:val="yellow"/>
        </w:rPr>
        <w:t>corporation</w:t>
      </w:r>
      <w:r w:rsidR="004C4B5A" w:rsidRPr="004C4B5A">
        <w:rPr>
          <w:b/>
          <w:szCs w:val="24"/>
          <w:highlight w:val="yellow"/>
        </w:rPr>
        <w:t>]</w:t>
      </w:r>
      <w:r w:rsidR="00145CC4" w:rsidRPr="00005CE4">
        <w:rPr>
          <w:szCs w:val="24"/>
        </w:rPr>
        <w:t xml:space="preserve">, with a principal place of business at </w:t>
      </w:r>
      <w:r w:rsidR="004C4B5A" w:rsidRPr="004C4B5A">
        <w:rPr>
          <w:szCs w:val="24"/>
          <w:highlight w:val="yellow"/>
        </w:rPr>
        <w:t>[•]</w:t>
      </w:r>
      <w:r w:rsidR="00534FB3">
        <w:rPr>
          <w:szCs w:val="24"/>
        </w:rPr>
        <w:t xml:space="preserve"> </w:t>
      </w:r>
      <w:r w:rsidR="001017CD" w:rsidRPr="00596C80">
        <w:rPr>
          <w:szCs w:val="24"/>
        </w:rPr>
        <w:t>(“Co</w:t>
      </w:r>
      <w:r w:rsidR="009347F2">
        <w:rPr>
          <w:szCs w:val="24"/>
        </w:rPr>
        <w:t>mpany</w:t>
      </w:r>
      <w:r w:rsidR="001017CD" w:rsidRPr="00596C80">
        <w:rPr>
          <w:szCs w:val="24"/>
        </w:rPr>
        <w:t>”).</w:t>
      </w:r>
      <w:r w:rsidR="004244C1" w:rsidRPr="00596C80">
        <w:rPr>
          <w:szCs w:val="24"/>
        </w:rPr>
        <w:t xml:space="preserve"> </w:t>
      </w:r>
      <w:r w:rsidR="00F3101A">
        <w:rPr>
          <w:szCs w:val="24"/>
        </w:rPr>
        <w:t xml:space="preserve"> </w:t>
      </w:r>
      <w:r w:rsidR="004977AF">
        <w:rPr>
          <w:szCs w:val="24"/>
        </w:rPr>
        <w:t>WG</w:t>
      </w:r>
      <w:r w:rsidR="004244C1" w:rsidRPr="00596C80">
        <w:rPr>
          <w:szCs w:val="24"/>
        </w:rPr>
        <w:t xml:space="preserve"> and </w:t>
      </w:r>
      <w:r w:rsidR="00E13FF7">
        <w:rPr>
          <w:szCs w:val="24"/>
        </w:rPr>
        <w:t>Co</w:t>
      </w:r>
      <w:r w:rsidR="009347F2">
        <w:rPr>
          <w:szCs w:val="24"/>
        </w:rPr>
        <w:t>mpany</w:t>
      </w:r>
      <w:r w:rsidR="004244C1" w:rsidRPr="00596C80">
        <w:rPr>
          <w:szCs w:val="24"/>
        </w:rPr>
        <w:t xml:space="preserve"> are sometimes hereinafter referred to individually</w:t>
      </w:r>
      <w:r w:rsidR="00F3101A">
        <w:rPr>
          <w:szCs w:val="24"/>
        </w:rPr>
        <w:t xml:space="preserve"> as a </w:t>
      </w:r>
      <w:r w:rsidR="004244C1" w:rsidRPr="00596C80">
        <w:rPr>
          <w:szCs w:val="24"/>
        </w:rPr>
        <w:t>“Party”</w:t>
      </w:r>
      <w:r w:rsidR="00F3101A">
        <w:rPr>
          <w:szCs w:val="24"/>
        </w:rPr>
        <w:t>,</w:t>
      </w:r>
      <w:r w:rsidR="004244C1" w:rsidRPr="00596C80">
        <w:rPr>
          <w:szCs w:val="24"/>
        </w:rPr>
        <w:t xml:space="preserve"> and collectively</w:t>
      </w:r>
      <w:r w:rsidR="00F3101A">
        <w:rPr>
          <w:szCs w:val="24"/>
        </w:rPr>
        <w:t xml:space="preserve"> as the </w:t>
      </w:r>
      <w:r w:rsidR="004244C1" w:rsidRPr="00596C80">
        <w:rPr>
          <w:szCs w:val="24"/>
        </w:rPr>
        <w:t>“Parties.”</w:t>
      </w:r>
    </w:p>
    <w:p w14:paraId="79E6BC35" w14:textId="0D515EE7" w:rsidR="004977AF" w:rsidRDefault="003F50E1" w:rsidP="004C4B5A">
      <w:pPr>
        <w:widowControl/>
        <w:suppressAutoHyphens/>
        <w:spacing w:after="240"/>
        <w:ind w:firstLine="720"/>
        <w:jc w:val="both"/>
      </w:pPr>
      <w:r>
        <w:t xml:space="preserve">WHEREAS, the Parties are the owners of certain </w:t>
      </w:r>
      <w:r w:rsidR="003C3D59">
        <w:t xml:space="preserve">confidential and/or </w:t>
      </w:r>
      <w:r>
        <w:t xml:space="preserve">proprietary information, including </w:t>
      </w:r>
      <w:r w:rsidR="00F3101A">
        <w:t>“</w:t>
      </w:r>
      <w:r w:rsidR="00BB2213">
        <w:t>trade s</w:t>
      </w:r>
      <w:r>
        <w:t>ecret</w:t>
      </w:r>
      <w:r w:rsidR="00F3101A">
        <w:t>”</w:t>
      </w:r>
      <w:r>
        <w:t xml:space="preserve"> </w:t>
      </w:r>
      <w:r w:rsidR="00596C80">
        <w:t xml:space="preserve">(as such term is defined in the </w:t>
      </w:r>
      <w:r w:rsidR="00596C80" w:rsidRPr="00596C80">
        <w:t>Uniform Trade Secrets Act</w:t>
      </w:r>
      <w:r w:rsidR="00596C80">
        <w:t xml:space="preserve">) </w:t>
      </w:r>
      <w:r>
        <w:t>information</w:t>
      </w:r>
      <w:r w:rsidR="00032F7C">
        <w:t xml:space="preserve"> and/or “</w:t>
      </w:r>
      <w:r w:rsidR="00032F7C" w:rsidRPr="00EF4206">
        <w:t>Critical Energy/Electric Infrastructure Information</w:t>
      </w:r>
      <w:r w:rsidR="00032F7C">
        <w:t>” (</w:t>
      </w:r>
      <w:r w:rsidR="00032F7C" w:rsidRPr="00EF4206">
        <w:t xml:space="preserve">as </w:t>
      </w:r>
      <w:r w:rsidR="00032F7C">
        <w:t>such</w:t>
      </w:r>
      <w:r w:rsidR="00032F7C" w:rsidRPr="00EF4206">
        <w:t xml:space="preserve"> term is defined in 18 C.F.R. § 388.113 (which may be amended or recodified)</w:t>
      </w:r>
      <w:r w:rsidR="00032F7C">
        <w:t>)(“CEII”),</w:t>
      </w:r>
      <w:r>
        <w:t xml:space="preserve"> which is of gre</w:t>
      </w:r>
      <w:r w:rsidR="004977AF">
        <w:t>at value and importance to them;</w:t>
      </w:r>
      <w:r w:rsidR="00F04B67">
        <w:t xml:space="preserve"> and</w:t>
      </w:r>
    </w:p>
    <w:p w14:paraId="23CF46E6" w14:textId="19A82F75" w:rsidR="00151DA2" w:rsidRDefault="004977AF" w:rsidP="004C4B5A">
      <w:pPr>
        <w:ind w:firstLine="720"/>
        <w:jc w:val="both"/>
      </w:pPr>
      <w:r>
        <w:t xml:space="preserve">WHEREAS, </w:t>
      </w:r>
      <w:r w:rsidR="00151DA2" w:rsidRPr="00151DA2">
        <w:t xml:space="preserve">The Parties hereto intend to have confidential discussions </w:t>
      </w:r>
      <w:r w:rsidR="00CF3F88">
        <w:t xml:space="preserve">including but not limited to discussions regarding </w:t>
      </w:r>
      <w:r w:rsidR="004C4B5A">
        <w:t xml:space="preserve">geographic information data sharing </w:t>
      </w:r>
      <w:r w:rsidR="00151DA2" w:rsidRPr="00151DA2">
        <w:t>(the “</w:t>
      </w:r>
      <w:r w:rsidR="004C4B5A">
        <w:t>Business Purpose</w:t>
      </w:r>
      <w:r w:rsidR="00151DA2" w:rsidRPr="00151DA2">
        <w:t>”).  In connection with such discussions, each Party may disclose to the other Party certain information the disclosing Party considers proprietary and confidential.  The Parties are entering into this Agreement to provide each other with assurance that such information will be maintained in confidence and to prevent the disclosure or use of the same except as permitted herein.</w:t>
      </w:r>
    </w:p>
    <w:p w14:paraId="61DFB2F4" w14:textId="77777777" w:rsidR="00F04B67" w:rsidRDefault="00F04B67" w:rsidP="004C4B5A">
      <w:pPr>
        <w:ind w:firstLine="720"/>
        <w:jc w:val="both"/>
      </w:pPr>
    </w:p>
    <w:p w14:paraId="5DE12CD4" w14:textId="77777777" w:rsidR="003F50E1" w:rsidRDefault="003F50E1" w:rsidP="004C4B5A">
      <w:pPr>
        <w:widowControl/>
        <w:suppressAutoHyphens/>
        <w:spacing w:after="240"/>
        <w:ind w:firstLine="720"/>
        <w:jc w:val="both"/>
      </w:pPr>
      <w:r>
        <w:t xml:space="preserve">NOW THEREFORE, in consideration of the Parties disclosure of </w:t>
      </w:r>
      <w:r w:rsidR="00BB2213">
        <w:t xml:space="preserve">confidential and/or </w:t>
      </w:r>
      <w:r>
        <w:t xml:space="preserve">proprietary information to each other and mutual promises and undertakings herein made, the </w:t>
      </w:r>
      <w:r w:rsidR="004977AF">
        <w:t>P</w:t>
      </w:r>
      <w:r>
        <w:t>arties agree as follows:</w:t>
      </w:r>
    </w:p>
    <w:p w14:paraId="2281BA54" w14:textId="7296D0C6" w:rsidR="006A29BD" w:rsidRDefault="00F37466" w:rsidP="004C4B5A">
      <w:pPr>
        <w:widowControl/>
        <w:numPr>
          <w:ilvl w:val="0"/>
          <w:numId w:val="10"/>
        </w:numPr>
        <w:tabs>
          <w:tab w:val="left" w:pos="-1440"/>
          <w:tab w:val="left" w:pos="-720"/>
          <w:tab w:val="num" w:pos="720"/>
          <w:tab w:val="left" w:pos="1170"/>
          <w:tab w:val="left" w:pos="2160"/>
          <w:tab w:val="left" w:pos="5040"/>
        </w:tabs>
        <w:suppressAutoHyphens/>
        <w:spacing w:after="240"/>
        <w:ind w:left="720"/>
        <w:jc w:val="both"/>
      </w:pPr>
      <w:r>
        <w:rPr>
          <w:u w:val="single"/>
        </w:rPr>
        <w:t>Confidential Information</w:t>
      </w:r>
      <w:r>
        <w:t xml:space="preserve">.  </w:t>
      </w:r>
      <w:r w:rsidR="004977AF">
        <w:t>A</w:t>
      </w:r>
      <w:r w:rsidR="003F50E1">
        <w:t>ll disclosures</w:t>
      </w:r>
      <w:r w:rsidR="007C2E8C">
        <w:t xml:space="preserve"> of </w:t>
      </w:r>
      <w:r w:rsidR="00BB2213">
        <w:t>Confidential</w:t>
      </w:r>
      <w:r w:rsidR="007C2E8C">
        <w:t xml:space="preserve"> Information </w:t>
      </w:r>
      <w:r w:rsidR="004244C1">
        <w:t xml:space="preserve">from the </w:t>
      </w:r>
      <w:r w:rsidR="00596C80">
        <w:t>P</w:t>
      </w:r>
      <w:r w:rsidR="004244C1">
        <w:t xml:space="preserve">arty </w:t>
      </w:r>
      <w:r w:rsidR="00596C80">
        <w:t xml:space="preserve">disclosing the information </w:t>
      </w:r>
      <w:r w:rsidR="004244C1">
        <w:t xml:space="preserve">(“Disclosing Party”) </w:t>
      </w:r>
      <w:r w:rsidR="007C2E8C">
        <w:t xml:space="preserve">to </w:t>
      </w:r>
      <w:r w:rsidR="004244C1">
        <w:t xml:space="preserve">the </w:t>
      </w:r>
      <w:r w:rsidR="003F50E1">
        <w:t xml:space="preserve">other </w:t>
      </w:r>
      <w:r w:rsidR="004244C1">
        <w:t xml:space="preserve">Party (“Receiving Party”) </w:t>
      </w:r>
      <w:r w:rsidR="004977AF">
        <w:t>sha</w:t>
      </w:r>
      <w:r w:rsidR="003F50E1">
        <w:t xml:space="preserve">ll be received for the sole and exclusive purpose of enabling the </w:t>
      </w:r>
      <w:r w:rsidR="00097796">
        <w:t xml:space="preserve">Parties to </w:t>
      </w:r>
      <w:proofErr w:type="gramStart"/>
      <w:r w:rsidR="003C3D59">
        <w:t>discuss,</w:t>
      </w:r>
      <w:r w:rsidR="00097796">
        <w:t xml:space="preserve"> </w:t>
      </w:r>
      <w:r w:rsidR="00A90708">
        <w:t>and</w:t>
      </w:r>
      <w:proofErr w:type="gramEnd"/>
      <w:r w:rsidR="00A90708">
        <w:t xml:space="preserve"> </w:t>
      </w:r>
      <w:r w:rsidR="00097796">
        <w:t>evaluate</w:t>
      </w:r>
      <w:r w:rsidR="004C4B5A">
        <w:t xml:space="preserve"> and complete</w:t>
      </w:r>
      <w:r w:rsidR="00097796">
        <w:t xml:space="preserve"> the </w:t>
      </w:r>
      <w:r w:rsidR="004C4B5A">
        <w:t>Business Purpose</w:t>
      </w:r>
      <w:r w:rsidR="00097796">
        <w:t>.</w:t>
      </w:r>
    </w:p>
    <w:p w14:paraId="65D5DEE9" w14:textId="14EC3AED" w:rsidR="003C3D59" w:rsidRDefault="003F50E1" w:rsidP="004C4B5A">
      <w:pPr>
        <w:widowControl/>
        <w:tabs>
          <w:tab w:val="left" w:pos="-1440"/>
          <w:tab w:val="left" w:pos="-720"/>
          <w:tab w:val="left" w:pos="1170"/>
          <w:tab w:val="left" w:pos="2160"/>
          <w:tab w:val="left" w:pos="5040"/>
        </w:tabs>
        <w:suppressAutoHyphens/>
        <w:spacing w:after="240"/>
        <w:ind w:left="720"/>
        <w:jc w:val="both"/>
      </w:pPr>
      <w:r>
        <w:t>“</w:t>
      </w:r>
      <w:r w:rsidR="00BB2213">
        <w:t>Confidential</w:t>
      </w:r>
      <w:r>
        <w:t xml:space="preserve"> Information”  includes but is not limited to any </w:t>
      </w:r>
      <w:r w:rsidR="00BB2213">
        <w:t>trade s</w:t>
      </w:r>
      <w:r w:rsidR="00BA1C66">
        <w:t xml:space="preserve">ecrets, </w:t>
      </w:r>
      <w:r w:rsidR="00032F7C">
        <w:t xml:space="preserve">CEII, </w:t>
      </w:r>
      <w:r>
        <w:t>agreements, financial information, data, reports, analyses, compilations, statistics, summaries, source or object code, documentation, manuals, studies, and any other materials or information, or any materials based thereon, whether written or oral, concerning the Parties, including, without limitation, the Parties</w:t>
      </w:r>
      <w:r w:rsidR="004244C1">
        <w:t>’</w:t>
      </w:r>
      <w:r>
        <w:t xml:space="preserve"> intellectual property,</w:t>
      </w:r>
      <w:r w:rsidR="00596C80">
        <w:t xml:space="preserve"> </w:t>
      </w:r>
      <w:r w:rsidR="004244C1">
        <w:t>their</w:t>
      </w:r>
      <w:r>
        <w:t xml:space="preserve"> </w:t>
      </w:r>
      <w:r w:rsidR="004977AF">
        <w:t>contractors</w:t>
      </w:r>
      <w:r>
        <w:t xml:space="preserve">, clients, businesses plans, policies, procedures, standards and products furnished directly or indirectly by the Parties or any of the </w:t>
      </w:r>
      <w:r w:rsidR="004244C1">
        <w:t>their</w:t>
      </w:r>
      <w:r>
        <w:t xml:space="preserve"> </w:t>
      </w:r>
      <w:r w:rsidR="00071C66">
        <w:t xml:space="preserve">or their affiliates </w:t>
      </w:r>
      <w:r>
        <w:t>directors, officers, employees, agents, attorneys, accountants, advisors and other representatives (colle</w:t>
      </w:r>
      <w:r w:rsidR="00097796">
        <w:t xml:space="preserve">ctively, the “Representatives”); </w:t>
      </w:r>
      <w:r w:rsidR="00097796" w:rsidRPr="006A29BD">
        <w:rPr>
          <w:i/>
        </w:rPr>
        <w:t xml:space="preserve">provided </w:t>
      </w:r>
      <w:r w:rsidR="00097796">
        <w:t xml:space="preserve">that </w:t>
      </w:r>
      <w:r w:rsidR="00BB2213">
        <w:t>Confidential</w:t>
      </w:r>
      <w:r w:rsidR="003C3D59">
        <w:t xml:space="preserve"> </w:t>
      </w:r>
      <w:r w:rsidR="00097796">
        <w:t>Information which is disclosed orally shall only be protected under this Agreement to the ext</w:t>
      </w:r>
      <w:r w:rsidR="003C3D59">
        <w:t>ent that the Receiving Party knew</w:t>
      </w:r>
      <w:r w:rsidR="00097796">
        <w:t xml:space="preserve">, or reasonably should have known, that such information was intended as </w:t>
      </w:r>
      <w:r w:rsidR="00BB2213">
        <w:t>Confidential</w:t>
      </w:r>
      <w:r w:rsidR="00097796">
        <w:t xml:space="preserve"> Information</w:t>
      </w:r>
      <w:r w:rsidR="003C3D59">
        <w:t xml:space="preserve">.  The term “documentation” includes written memoranda, drawings, training materials, specifications, notebook entries, photographs, graphic representations, firmware, computer information or software, information communicated by other electronic or magnetic media, or models.  </w:t>
      </w:r>
    </w:p>
    <w:p w14:paraId="58D58BE6" w14:textId="76FB8628" w:rsidR="003F50E1" w:rsidRDefault="003F50E1" w:rsidP="004C4B5A">
      <w:pPr>
        <w:widowControl/>
        <w:tabs>
          <w:tab w:val="left" w:pos="-1440"/>
          <w:tab w:val="left" w:pos="-720"/>
          <w:tab w:val="left" w:pos="1170"/>
          <w:tab w:val="left" w:pos="2160"/>
          <w:tab w:val="left" w:pos="5040"/>
        </w:tabs>
        <w:suppressAutoHyphens/>
        <w:spacing w:after="240"/>
        <w:ind w:left="720"/>
        <w:jc w:val="both"/>
      </w:pPr>
      <w:r>
        <w:lastRenderedPageBreak/>
        <w:t>“</w:t>
      </w:r>
      <w:r w:rsidR="00BB2213">
        <w:t>Confidential</w:t>
      </w:r>
      <w:r>
        <w:t xml:space="preserve"> Information” shall </w:t>
      </w:r>
      <w:r w:rsidR="004977AF">
        <w:t>not include information which: (a</w:t>
      </w:r>
      <w:r>
        <w:t xml:space="preserve">) was or becomes generally available to the public other than as a result of a disclosure by the Receiving Party or the Receiving Party’s </w:t>
      </w:r>
      <w:r w:rsidR="00596C80">
        <w:t>Representatives</w:t>
      </w:r>
      <w:r w:rsidR="004977AF">
        <w:t xml:space="preserve">; </w:t>
      </w:r>
      <w:r>
        <w:t>(</w:t>
      </w:r>
      <w:r w:rsidR="004977AF">
        <w:t>b</w:t>
      </w:r>
      <w:r>
        <w:t xml:space="preserve">) was or becomes available to the Receiving Party on a non-confidential basis from a source other than the Disclosing Party or </w:t>
      </w:r>
      <w:r w:rsidR="00596C80">
        <w:t xml:space="preserve">its </w:t>
      </w:r>
      <w:r>
        <w:t>Representatives</w:t>
      </w:r>
      <w:r w:rsidR="004977AF">
        <w:t>,</w:t>
      </w:r>
      <w:r>
        <w:t xml:space="preserve"> </w:t>
      </w:r>
      <w:r w:rsidRPr="00097796">
        <w:rPr>
          <w:i/>
        </w:rPr>
        <w:t>provided</w:t>
      </w:r>
      <w:r>
        <w:t xml:space="preserve"> that such source is not bound by a confidentiality agreeme</w:t>
      </w:r>
      <w:r w:rsidR="004977AF">
        <w:t>nt with the Disclosing Party</w:t>
      </w:r>
      <w:r w:rsidR="00175322">
        <w:t xml:space="preserve"> to the Receiving Party’s knowledge</w:t>
      </w:r>
      <w:r w:rsidR="004977AF">
        <w:t>;</w:t>
      </w:r>
      <w:r>
        <w:t xml:space="preserve"> (</w:t>
      </w:r>
      <w:r w:rsidR="004977AF">
        <w:t>c</w:t>
      </w:r>
      <w:r>
        <w:t xml:space="preserve">) was within the Receiving Party’s possession prior to its being furnished, </w:t>
      </w:r>
      <w:r w:rsidRPr="00097796">
        <w:rPr>
          <w:i/>
        </w:rPr>
        <w:t>provided</w:t>
      </w:r>
      <w:r>
        <w:t xml:space="preserve"> that the source of such information was not bound by a confidentiality agreement in respect thereof</w:t>
      </w:r>
      <w:r w:rsidR="00175322">
        <w:t xml:space="preserve"> to the Receiving Party’s knowledge</w:t>
      </w:r>
      <w:r w:rsidR="004977AF">
        <w:t>;</w:t>
      </w:r>
      <w:r>
        <w:t xml:space="preserve"> or (</w:t>
      </w:r>
      <w:r w:rsidR="004977AF">
        <w:t>d</w:t>
      </w:r>
      <w:r>
        <w:t>) </w:t>
      </w:r>
      <w:r w:rsidR="00392FFD">
        <w:t xml:space="preserve">is or </w:t>
      </w:r>
      <w:r>
        <w:t xml:space="preserve">was independently </w:t>
      </w:r>
      <w:r w:rsidR="00392FFD">
        <w:t>developed by</w:t>
      </w:r>
      <w:r>
        <w:t xml:space="preserve">  the Receiving Party.</w:t>
      </w:r>
      <w:r w:rsidR="004377DE">
        <w:t xml:space="preserve">  </w:t>
      </w:r>
    </w:p>
    <w:p w14:paraId="1364EF0B" w14:textId="5A4CDF5F" w:rsidR="004D4F44" w:rsidRDefault="00F37466" w:rsidP="004C4B5A">
      <w:pPr>
        <w:widowControl/>
        <w:numPr>
          <w:ilvl w:val="0"/>
          <w:numId w:val="10"/>
        </w:numPr>
        <w:tabs>
          <w:tab w:val="left" w:pos="-1440"/>
          <w:tab w:val="num" w:pos="720"/>
        </w:tabs>
        <w:suppressAutoHyphens/>
        <w:spacing w:after="240"/>
        <w:ind w:left="720"/>
        <w:jc w:val="both"/>
      </w:pPr>
      <w:r w:rsidRPr="00427CFE">
        <w:rPr>
          <w:u w:val="single"/>
        </w:rPr>
        <w:t>Nondisclosure</w:t>
      </w:r>
      <w:r>
        <w:t xml:space="preserve">.  </w:t>
      </w:r>
      <w:r w:rsidR="003F50E1">
        <w:t xml:space="preserve">The Receiving Party </w:t>
      </w:r>
      <w:r w:rsidR="003C3D59">
        <w:t xml:space="preserve">shall </w:t>
      </w:r>
      <w:r w:rsidR="003F50E1">
        <w:t xml:space="preserve">not disclose to third persons any </w:t>
      </w:r>
      <w:r w:rsidR="00BB2213">
        <w:t>Confidential</w:t>
      </w:r>
      <w:r w:rsidR="003F50E1">
        <w:t xml:space="preserve"> Information </w:t>
      </w:r>
      <w:r w:rsidR="00F16498">
        <w:t>disclosed under</w:t>
      </w:r>
      <w:r w:rsidR="003F50E1">
        <w:t xml:space="preserve"> this Agreement without the prior written consent of the Disclosing Party</w:t>
      </w:r>
      <w:r w:rsidR="004D4F44">
        <w:t xml:space="preserve">, nor shall it </w:t>
      </w:r>
      <w:r w:rsidR="003F50E1">
        <w:t xml:space="preserve">disclose </w:t>
      </w:r>
      <w:r w:rsidR="00BB2213">
        <w:t>Confidential</w:t>
      </w:r>
      <w:r w:rsidR="003F50E1">
        <w:t xml:space="preserve"> Information disclosed pursuant to this </w:t>
      </w:r>
      <w:r w:rsidR="00F16498">
        <w:t>Agreement to</w:t>
      </w:r>
      <w:r w:rsidR="003F50E1">
        <w:t xml:space="preserve"> any </w:t>
      </w:r>
      <w:r w:rsidR="00F16498">
        <w:t xml:space="preserve">of </w:t>
      </w:r>
      <w:r w:rsidR="004D4F44">
        <w:t xml:space="preserve">its </w:t>
      </w:r>
      <w:r w:rsidR="004244C1">
        <w:t>Representatives</w:t>
      </w:r>
      <w:r w:rsidR="003F50E1">
        <w:t xml:space="preserve"> except those who have specific responsibilities and a need-to-know wh</w:t>
      </w:r>
      <w:r w:rsidR="00F16498">
        <w:t xml:space="preserve">ich </w:t>
      </w:r>
      <w:r w:rsidR="006A29BD">
        <w:t xml:space="preserve">specifically </w:t>
      </w:r>
      <w:r w:rsidR="00F16498">
        <w:t xml:space="preserve">relate to </w:t>
      </w:r>
      <w:r w:rsidR="00BB2213">
        <w:t xml:space="preserve">the </w:t>
      </w:r>
      <w:r w:rsidR="004C4B5A">
        <w:t>discussion, evaluation and completion of the Business Purpose</w:t>
      </w:r>
      <w:r w:rsidR="004D4F44">
        <w:t xml:space="preserve"> as set forth in the following </w:t>
      </w:r>
      <w:r w:rsidR="004C0C21">
        <w:t>Section 3</w:t>
      </w:r>
      <w:r w:rsidR="004D4F44">
        <w:t xml:space="preserve">.  Neither Party shall </w:t>
      </w:r>
      <w:r w:rsidR="003F50E1" w:rsidRPr="00427CFE">
        <w:t xml:space="preserve">reveal to any </w:t>
      </w:r>
      <w:r w:rsidR="006A29BD" w:rsidRPr="00427CFE">
        <w:t xml:space="preserve">third </w:t>
      </w:r>
      <w:r w:rsidR="003F50E1" w:rsidRPr="00427CFE">
        <w:t xml:space="preserve">party that </w:t>
      </w:r>
      <w:r w:rsidR="004D4F44">
        <w:t xml:space="preserve">it is </w:t>
      </w:r>
      <w:r w:rsidR="006A29BD" w:rsidRPr="00427CFE">
        <w:t xml:space="preserve">considering </w:t>
      </w:r>
      <w:r w:rsidR="003F50E1" w:rsidRPr="00427CFE">
        <w:t xml:space="preserve">doing business with </w:t>
      </w:r>
      <w:r w:rsidR="004D4F44">
        <w:t xml:space="preserve">the </w:t>
      </w:r>
      <w:r w:rsidR="003F50E1" w:rsidRPr="00427CFE">
        <w:t>other</w:t>
      </w:r>
      <w:r w:rsidR="004D4F44">
        <w:t xml:space="preserve"> Party</w:t>
      </w:r>
      <w:r w:rsidR="003F50E1" w:rsidRPr="00427CFE">
        <w:t xml:space="preserve">, that </w:t>
      </w:r>
      <w:r w:rsidR="004D4F44">
        <w:t xml:space="preserve">it has </w:t>
      </w:r>
      <w:r w:rsidR="003F50E1" w:rsidRPr="00427CFE">
        <w:t xml:space="preserve">received any </w:t>
      </w:r>
      <w:r w:rsidR="00BB2213" w:rsidRPr="00427CFE">
        <w:t>Confidential</w:t>
      </w:r>
      <w:r w:rsidR="003F50E1" w:rsidRPr="00427CFE">
        <w:t xml:space="preserve"> Information from </w:t>
      </w:r>
      <w:r w:rsidR="004D4F44">
        <w:t xml:space="preserve">the </w:t>
      </w:r>
      <w:r w:rsidR="003F50E1" w:rsidRPr="00427CFE">
        <w:t>other</w:t>
      </w:r>
      <w:r w:rsidR="004D4F44">
        <w:t xml:space="preserve"> Party</w:t>
      </w:r>
      <w:r w:rsidR="003F50E1" w:rsidRPr="00427CFE">
        <w:t xml:space="preserve">, or that </w:t>
      </w:r>
      <w:r w:rsidR="004D4F44">
        <w:t xml:space="preserve">it has </w:t>
      </w:r>
      <w:r w:rsidR="003F50E1" w:rsidRPr="00427CFE">
        <w:t xml:space="preserve">entered into this Agreement.  This </w:t>
      </w:r>
      <w:r w:rsidR="00BB2213" w:rsidRPr="00427CFE">
        <w:t xml:space="preserve">prohibition </w:t>
      </w:r>
      <w:r w:rsidR="003F50E1" w:rsidRPr="00427CFE">
        <w:t>includes, but is not limited to, making any sort of press releases or any other public announcements.</w:t>
      </w:r>
      <w:r w:rsidR="004D4F44">
        <w:t xml:space="preserve">  Neither Party shall </w:t>
      </w:r>
      <w:r w:rsidR="004D4F44">
        <w:rPr>
          <w:spacing w:val="-2"/>
        </w:rPr>
        <w:t>duplicate any Confidential Information which consists of materials expressly restricted against copying</w:t>
      </w:r>
      <w:r w:rsidR="00917AAC">
        <w:rPr>
          <w:spacing w:val="-2"/>
        </w:rPr>
        <w:t xml:space="preserve"> (as indicated on the face of such document or material)</w:t>
      </w:r>
      <w:r w:rsidR="004D4F44">
        <w:rPr>
          <w:spacing w:val="-2"/>
        </w:rPr>
        <w:t>, unless such duplication, use or disclosure is specifically authorized in writing by the Disclosing Party.</w:t>
      </w:r>
    </w:p>
    <w:p w14:paraId="22332F79" w14:textId="77777777" w:rsidR="003F50E1" w:rsidRDefault="004D4F44" w:rsidP="004C4B5A">
      <w:pPr>
        <w:widowControl/>
        <w:numPr>
          <w:ilvl w:val="0"/>
          <w:numId w:val="10"/>
        </w:numPr>
        <w:tabs>
          <w:tab w:val="left" w:pos="-1440"/>
          <w:tab w:val="num" w:pos="720"/>
        </w:tabs>
        <w:suppressAutoHyphens/>
        <w:spacing w:after="240"/>
        <w:ind w:left="720"/>
        <w:jc w:val="both"/>
      </w:pPr>
      <w:r>
        <w:rPr>
          <w:u w:val="single"/>
        </w:rPr>
        <w:t>Permitted Disclosure to Representatives</w:t>
      </w:r>
      <w:r>
        <w:t xml:space="preserve">.  </w:t>
      </w:r>
      <w:r w:rsidR="003F50E1">
        <w:t xml:space="preserve">The Parties </w:t>
      </w:r>
      <w:r w:rsidR="006A29BD">
        <w:t xml:space="preserve">shall </w:t>
      </w:r>
      <w:r w:rsidR="003F50E1">
        <w:t xml:space="preserve">inform those of their </w:t>
      </w:r>
      <w:r w:rsidR="004244C1">
        <w:t>Representatives</w:t>
      </w:r>
      <w:r w:rsidR="003F50E1">
        <w:t xml:space="preserve"> to whom they do make disclosures of </w:t>
      </w:r>
      <w:r w:rsidR="00BB2213">
        <w:t>Confidential</w:t>
      </w:r>
      <w:r w:rsidR="003F50E1">
        <w:t xml:space="preserve"> Information pursuant to this Agreement that such information is </w:t>
      </w:r>
      <w:r w:rsidR="006A29BD">
        <w:t>confidential and p</w:t>
      </w:r>
      <w:r w:rsidR="003F50E1">
        <w:t xml:space="preserve">roprietary, and that </w:t>
      </w:r>
      <w:r w:rsidR="006A29BD">
        <w:t xml:space="preserve">such information </w:t>
      </w:r>
      <w:r w:rsidR="003F50E1">
        <w:t xml:space="preserve">may not be further disclosed except in accordance with this Agreement. </w:t>
      </w:r>
      <w:r w:rsidR="006A29BD">
        <w:t xml:space="preserve"> Each Party</w:t>
      </w:r>
      <w:r w:rsidR="00F16498">
        <w:t xml:space="preserve"> </w:t>
      </w:r>
      <w:r w:rsidR="006A29BD">
        <w:t xml:space="preserve">hereby </w:t>
      </w:r>
      <w:r w:rsidR="003F50E1">
        <w:t>assume</w:t>
      </w:r>
      <w:r w:rsidR="006A29BD">
        <w:t>s</w:t>
      </w:r>
      <w:r w:rsidR="003F50E1">
        <w:t xml:space="preserve"> full responsibility for the conduct of any person or organization to which it has disclosed </w:t>
      </w:r>
      <w:r w:rsidR="00BB2213">
        <w:t>Confidential</w:t>
      </w:r>
      <w:r w:rsidR="003F50E1">
        <w:t xml:space="preserve"> Information.</w:t>
      </w:r>
      <w:r w:rsidR="00427CFE">
        <w:t xml:space="preserve">  </w:t>
      </w:r>
      <w:r w:rsidR="007C2E8C">
        <w:t xml:space="preserve">The Parties </w:t>
      </w:r>
      <w:r w:rsidR="00BB2213">
        <w:t xml:space="preserve">shall </w:t>
      </w:r>
      <w:r w:rsidR="003F50E1">
        <w:t xml:space="preserve">protect and safeguard all </w:t>
      </w:r>
      <w:r w:rsidR="00BB2213">
        <w:t>Confidential</w:t>
      </w:r>
      <w:r w:rsidR="003F50E1">
        <w:t xml:space="preserve"> Information disclosed pursuant to this Agreement in accordance with their own security procedures</w:t>
      </w:r>
      <w:r w:rsidR="006E0119">
        <w:t xml:space="preserve"> for similarly sensitive information, but in no event, using less than reasonable care to prevent unauthorized use and/or disclosure</w:t>
      </w:r>
      <w:r w:rsidR="003F50E1">
        <w:t>.</w:t>
      </w:r>
    </w:p>
    <w:p w14:paraId="20B0EA75" w14:textId="5DF28B9F" w:rsidR="003F50E1" w:rsidRDefault="00427CFE" w:rsidP="004C4B5A">
      <w:pPr>
        <w:widowControl/>
        <w:numPr>
          <w:ilvl w:val="0"/>
          <w:numId w:val="10"/>
        </w:numPr>
        <w:tabs>
          <w:tab w:val="num" w:pos="720"/>
        </w:tabs>
        <w:suppressAutoHyphens/>
        <w:spacing w:after="240"/>
        <w:ind w:left="720"/>
        <w:jc w:val="both"/>
      </w:pPr>
      <w:r>
        <w:rPr>
          <w:spacing w:val="-2"/>
          <w:u w:val="single"/>
        </w:rPr>
        <w:t>Required Disclosure</w:t>
      </w:r>
      <w:r>
        <w:rPr>
          <w:spacing w:val="-2"/>
        </w:rPr>
        <w:t xml:space="preserve">.  </w:t>
      </w:r>
      <w:r w:rsidR="003F50E1">
        <w:rPr>
          <w:spacing w:val="-2"/>
        </w:rPr>
        <w:t xml:space="preserve">The </w:t>
      </w:r>
      <w:r w:rsidR="00F16498">
        <w:rPr>
          <w:spacing w:val="-2"/>
        </w:rPr>
        <w:t>Parties shall</w:t>
      </w:r>
      <w:r w:rsidR="003F50E1">
        <w:rPr>
          <w:spacing w:val="-2"/>
        </w:rPr>
        <w:t xml:space="preserve"> not be liable for any disclosure of </w:t>
      </w:r>
      <w:r w:rsidR="00BB2213">
        <w:rPr>
          <w:spacing w:val="-2"/>
        </w:rPr>
        <w:t>Confidential</w:t>
      </w:r>
      <w:r w:rsidR="00F37466">
        <w:rPr>
          <w:spacing w:val="-2"/>
        </w:rPr>
        <w:t xml:space="preserve"> Information</w:t>
      </w:r>
      <w:r w:rsidR="003F50E1">
        <w:rPr>
          <w:spacing w:val="-2"/>
        </w:rPr>
        <w:t xml:space="preserve"> which is required by law or is reasonably necessary in order to enforce this Agreement. </w:t>
      </w:r>
      <w:r w:rsidR="004C0C21">
        <w:rPr>
          <w:spacing w:val="-2"/>
        </w:rPr>
        <w:t xml:space="preserve"> </w:t>
      </w:r>
      <w:r w:rsidR="003F50E1">
        <w:rPr>
          <w:spacing w:val="-2"/>
        </w:rPr>
        <w:t xml:space="preserve">The Parties </w:t>
      </w:r>
      <w:r w:rsidR="004C0C21">
        <w:rPr>
          <w:spacing w:val="-2"/>
        </w:rPr>
        <w:t>sha</w:t>
      </w:r>
      <w:r w:rsidR="003F50E1">
        <w:rPr>
          <w:spacing w:val="-2"/>
        </w:rPr>
        <w:t xml:space="preserve">ll not disclose </w:t>
      </w:r>
      <w:r w:rsidR="00BB2213">
        <w:rPr>
          <w:spacing w:val="-2"/>
        </w:rPr>
        <w:t>Confidential</w:t>
      </w:r>
      <w:r w:rsidR="003F50E1">
        <w:rPr>
          <w:spacing w:val="-2"/>
        </w:rPr>
        <w:t xml:space="preserve"> Information as required by law until the Receiving Party</w:t>
      </w:r>
      <w:r w:rsidR="00F16498">
        <w:rPr>
          <w:spacing w:val="-2"/>
        </w:rPr>
        <w:t>,</w:t>
      </w:r>
      <w:r w:rsidR="003F50E1">
        <w:rPr>
          <w:spacing w:val="-2"/>
        </w:rPr>
        <w:t xml:space="preserve"> after receiving the legal notice to disclose such information</w:t>
      </w:r>
      <w:r w:rsidR="00F16498">
        <w:rPr>
          <w:spacing w:val="-2"/>
        </w:rPr>
        <w:t>,</w:t>
      </w:r>
      <w:r w:rsidR="003F50E1">
        <w:rPr>
          <w:spacing w:val="-2"/>
        </w:rPr>
        <w:t xml:space="preserve"> gives prompt </w:t>
      </w:r>
      <w:r w:rsidR="00F16498">
        <w:rPr>
          <w:spacing w:val="-2"/>
        </w:rPr>
        <w:t>notice to the Disclosing Party</w:t>
      </w:r>
      <w:r w:rsidR="00825A99">
        <w:rPr>
          <w:spacing w:val="-2"/>
        </w:rPr>
        <w:t xml:space="preserve"> (to the extent permitted)</w:t>
      </w:r>
      <w:r w:rsidR="004C0C21">
        <w:rPr>
          <w:spacing w:val="-2"/>
        </w:rPr>
        <w:t>,</w:t>
      </w:r>
      <w:r w:rsidR="00F16498">
        <w:rPr>
          <w:spacing w:val="-2"/>
        </w:rPr>
        <w:t xml:space="preserve"> </w:t>
      </w:r>
      <w:r w:rsidR="004C0C21">
        <w:rPr>
          <w:spacing w:val="-2"/>
        </w:rPr>
        <w:t xml:space="preserve">thereby </w:t>
      </w:r>
      <w:r w:rsidR="003F50E1">
        <w:rPr>
          <w:spacing w:val="-2"/>
        </w:rPr>
        <w:t xml:space="preserve">allowing the Disclosing Party </w:t>
      </w:r>
      <w:r w:rsidR="004C0C21">
        <w:rPr>
          <w:spacing w:val="-2"/>
        </w:rPr>
        <w:t xml:space="preserve">enough </w:t>
      </w:r>
      <w:r w:rsidR="003F50E1">
        <w:rPr>
          <w:spacing w:val="-2"/>
        </w:rPr>
        <w:t xml:space="preserve">time to make a reasonable effort to obtain a protective order or otherwise protect the confidentiality of such information. </w:t>
      </w:r>
      <w:r w:rsidR="004C0C21">
        <w:rPr>
          <w:spacing w:val="-2"/>
        </w:rPr>
        <w:t xml:space="preserve"> </w:t>
      </w:r>
      <w:r w:rsidR="003F50E1">
        <w:rPr>
          <w:spacing w:val="-2"/>
        </w:rPr>
        <w:t xml:space="preserve">To the extent a protective order </w:t>
      </w:r>
      <w:r w:rsidR="00F16498">
        <w:rPr>
          <w:spacing w:val="-2"/>
        </w:rPr>
        <w:t>cannot</w:t>
      </w:r>
      <w:r w:rsidR="003F50E1">
        <w:rPr>
          <w:spacing w:val="-2"/>
        </w:rPr>
        <w:t xml:space="preserve"> be obtained</w:t>
      </w:r>
      <w:r w:rsidR="00F16498">
        <w:rPr>
          <w:spacing w:val="-2"/>
        </w:rPr>
        <w:t>,</w:t>
      </w:r>
      <w:r w:rsidR="003F50E1">
        <w:rPr>
          <w:spacing w:val="-2"/>
        </w:rPr>
        <w:t xml:space="preserve"> the Receiving Party </w:t>
      </w:r>
      <w:r w:rsidR="004C0C21">
        <w:rPr>
          <w:spacing w:val="-2"/>
        </w:rPr>
        <w:t>sha</w:t>
      </w:r>
      <w:r w:rsidR="003F50E1">
        <w:rPr>
          <w:spacing w:val="-2"/>
        </w:rPr>
        <w:t xml:space="preserve">ll only disclose that information necessary to comply with the legal </w:t>
      </w:r>
      <w:r w:rsidR="002171BE">
        <w:rPr>
          <w:spacing w:val="-2"/>
        </w:rPr>
        <w:t xml:space="preserve">requirement </w:t>
      </w:r>
      <w:r w:rsidR="003F50E1">
        <w:rPr>
          <w:spacing w:val="-2"/>
        </w:rPr>
        <w:t xml:space="preserve">as determined by its attorney. </w:t>
      </w:r>
      <w:r w:rsidR="004C0C21">
        <w:rPr>
          <w:spacing w:val="-2"/>
        </w:rPr>
        <w:t xml:space="preserve"> </w:t>
      </w:r>
      <w:r w:rsidR="003F50E1">
        <w:rPr>
          <w:spacing w:val="-2"/>
        </w:rPr>
        <w:t>The disclosure of Confidential Informat</w:t>
      </w:r>
      <w:r w:rsidR="00F16498">
        <w:rPr>
          <w:spacing w:val="-2"/>
        </w:rPr>
        <w:t xml:space="preserve">ion, pursuant to a legal </w:t>
      </w:r>
      <w:r w:rsidR="002171BE">
        <w:rPr>
          <w:spacing w:val="-2"/>
        </w:rPr>
        <w:t>requirement</w:t>
      </w:r>
      <w:r w:rsidR="00F16498">
        <w:rPr>
          <w:spacing w:val="-2"/>
        </w:rPr>
        <w:t>,</w:t>
      </w:r>
      <w:r w:rsidR="003F50E1">
        <w:rPr>
          <w:spacing w:val="-2"/>
        </w:rPr>
        <w:t xml:space="preserve"> </w:t>
      </w:r>
      <w:r w:rsidR="004C0C21">
        <w:rPr>
          <w:spacing w:val="-2"/>
        </w:rPr>
        <w:t xml:space="preserve">shall </w:t>
      </w:r>
      <w:r w:rsidR="003F50E1">
        <w:rPr>
          <w:spacing w:val="-2"/>
        </w:rPr>
        <w:t xml:space="preserve">not remove the requirement to treat this information as </w:t>
      </w:r>
      <w:r w:rsidR="004C0C21" w:rsidRPr="004C0C21">
        <w:rPr>
          <w:spacing w:val="-2"/>
        </w:rPr>
        <w:t>c</w:t>
      </w:r>
      <w:r w:rsidR="003F50E1" w:rsidRPr="004C0C21">
        <w:rPr>
          <w:spacing w:val="-2"/>
        </w:rPr>
        <w:t>onfidential</w:t>
      </w:r>
      <w:r w:rsidR="00F16498">
        <w:rPr>
          <w:spacing w:val="-2"/>
        </w:rPr>
        <w:t>.</w:t>
      </w:r>
      <w:r w:rsidR="003F50E1">
        <w:rPr>
          <w:spacing w:val="-2"/>
        </w:rPr>
        <w:t xml:space="preserve"> </w:t>
      </w:r>
      <w:r w:rsidR="00F16498">
        <w:rPr>
          <w:spacing w:val="-2"/>
        </w:rPr>
        <w:t xml:space="preserve"> </w:t>
      </w:r>
      <w:r w:rsidR="003F50E1">
        <w:rPr>
          <w:spacing w:val="-2"/>
        </w:rPr>
        <w:t>The Parties</w:t>
      </w:r>
      <w:r w:rsidR="003F50E1">
        <w:t xml:space="preserve"> </w:t>
      </w:r>
      <w:r w:rsidR="004C0C21">
        <w:t xml:space="preserve">acknowledge </w:t>
      </w:r>
      <w:r w:rsidR="003F50E1">
        <w:t>that a remedy at law</w:t>
      </w:r>
      <w:r w:rsidR="00061513">
        <w:t xml:space="preserve"> may not be adequate to protect</w:t>
      </w:r>
      <w:r w:rsidR="003F50E1">
        <w:t xml:space="preserve"> </w:t>
      </w:r>
      <w:r w:rsidR="004C0C21">
        <w:t xml:space="preserve">their respective interests </w:t>
      </w:r>
      <w:r w:rsidR="003F50E1">
        <w:t xml:space="preserve">in the event of a threatened breach of this </w:t>
      </w:r>
      <w:r w:rsidR="004C0C21" w:rsidRPr="004C0C21">
        <w:t>S</w:t>
      </w:r>
      <w:r w:rsidR="003F50E1" w:rsidRPr="004C0C21">
        <w:t>ection</w:t>
      </w:r>
      <w:r w:rsidR="004C0C21">
        <w:t xml:space="preserve"> 4</w:t>
      </w:r>
      <w:r w:rsidR="003F50E1">
        <w:t xml:space="preserve">, and </w:t>
      </w:r>
      <w:r w:rsidR="004C0C21">
        <w:t xml:space="preserve">therefore </w:t>
      </w:r>
      <w:r w:rsidR="003F50E1">
        <w:t xml:space="preserve">the Disclosing Party may </w:t>
      </w:r>
      <w:r w:rsidR="004C0C21">
        <w:t xml:space="preserve">seek </w:t>
      </w:r>
      <w:r w:rsidR="003F50E1">
        <w:t xml:space="preserve">equitable action, including injunctive relief, to enforce this </w:t>
      </w:r>
      <w:r w:rsidR="004C0C21">
        <w:t>S</w:t>
      </w:r>
      <w:r w:rsidR="003F50E1">
        <w:t>ection</w:t>
      </w:r>
      <w:r w:rsidR="004C0C21">
        <w:t xml:space="preserve"> 4</w:t>
      </w:r>
      <w:r w:rsidR="003F50E1">
        <w:t>.</w:t>
      </w:r>
    </w:p>
    <w:p w14:paraId="3E1F5881" w14:textId="307FA19B" w:rsidR="003F50E1" w:rsidRDefault="00B332CB" w:rsidP="004C4B5A">
      <w:pPr>
        <w:widowControl/>
        <w:numPr>
          <w:ilvl w:val="0"/>
          <w:numId w:val="10"/>
        </w:numPr>
        <w:tabs>
          <w:tab w:val="num" w:pos="720"/>
        </w:tabs>
        <w:suppressAutoHyphens/>
        <w:spacing w:after="240"/>
        <w:ind w:left="720"/>
        <w:jc w:val="both"/>
      </w:pPr>
      <w:r w:rsidRPr="00B332CB">
        <w:rPr>
          <w:u w:val="single"/>
        </w:rPr>
        <w:t>Return and Deletion</w:t>
      </w:r>
      <w:r>
        <w:t xml:space="preserve">.  </w:t>
      </w:r>
      <w:r w:rsidR="004C0C21">
        <w:t>O</w:t>
      </w:r>
      <w:r w:rsidR="003F50E1">
        <w:t xml:space="preserve">n </w:t>
      </w:r>
      <w:r w:rsidR="00C1416A">
        <w:t xml:space="preserve">written </w:t>
      </w:r>
      <w:r w:rsidR="003F50E1">
        <w:t xml:space="preserve">demand by either </w:t>
      </w:r>
      <w:r w:rsidR="00596C80">
        <w:t>Party</w:t>
      </w:r>
      <w:r w:rsidR="003F50E1">
        <w:t xml:space="preserve">, all </w:t>
      </w:r>
      <w:r w:rsidR="00BB2213">
        <w:t>Confidential</w:t>
      </w:r>
      <w:r w:rsidR="003F50E1">
        <w:t xml:space="preserve"> Information in documentary or other tangible form, including all copies or reproductions of such information (including copies that would otherwise be discarded) in possession or under the Receiving Party's control</w:t>
      </w:r>
      <w:r w:rsidR="00021A11">
        <w:t xml:space="preserve"> </w:t>
      </w:r>
      <w:r w:rsidR="004C0C21">
        <w:t>sha</w:t>
      </w:r>
      <w:r w:rsidR="00021A11" w:rsidRPr="00021A11">
        <w:t xml:space="preserve">ll be </w:t>
      </w:r>
      <w:r w:rsidR="004377DE">
        <w:t xml:space="preserve">destroyed or </w:t>
      </w:r>
      <w:r w:rsidR="00021A11" w:rsidRPr="00021A11">
        <w:t xml:space="preserve">returned to the Disclosing </w:t>
      </w:r>
      <w:r w:rsidR="00596C80">
        <w:t>P</w:t>
      </w:r>
      <w:r w:rsidR="00021A11" w:rsidRPr="00021A11">
        <w:t>arty</w:t>
      </w:r>
      <w:r w:rsidR="005572A8">
        <w:t xml:space="preserve">; </w:t>
      </w:r>
      <w:r w:rsidR="005572A8" w:rsidRPr="00E13FF7">
        <w:rPr>
          <w:i/>
        </w:rPr>
        <w:t>provided</w:t>
      </w:r>
      <w:r w:rsidR="005572A8" w:rsidRPr="005572A8">
        <w:t xml:space="preserve">, however, </w:t>
      </w:r>
      <w:r w:rsidR="005572A8">
        <w:t>the Receiving Party</w:t>
      </w:r>
      <w:r w:rsidR="005572A8" w:rsidRPr="005572A8">
        <w:t xml:space="preserve"> may retain one archival copy for its legal files and for use only in resolving a dispute concerning this Agreement and other copies as may be stored on its electronic records system as a result of automated backup systems or as may be otherwise required by law, other regulatory requirements, or internal document retention policies</w:t>
      </w:r>
      <w:r w:rsidR="005572A8">
        <w:t xml:space="preserve"> </w:t>
      </w:r>
      <w:r w:rsidR="005572A8" w:rsidRPr="005572A8">
        <w:t xml:space="preserve">so long as the </w:t>
      </w:r>
      <w:r w:rsidR="005572A8">
        <w:t xml:space="preserve">Confidential </w:t>
      </w:r>
      <w:r w:rsidR="005572A8" w:rsidRPr="005572A8">
        <w:t>Information contained therein is not disclosed or used in violation of the other terms of this Agreement</w:t>
      </w:r>
      <w:r w:rsidR="003F50E1">
        <w:t>.</w:t>
      </w:r>
    </w:p>
    <w:p w14:paraId="53932A13" w14:textId="3CB9161A" w:rsidR="00B332CB" w:rsidRDefault="00427CFE" w:rsidP="004C4B5A">
      <w:pPr>
        <w:widowControl/>
        <w:numPr>
          <w:ilvl w:val="0"/>
          <w:numId w:val="10"/>
        </w:numPr>
        <w:tabs>
          <w:tab w:val="num" w:pos="720"/>
        </w:tabs>
        <w:suppressAutoHyphens/>
        <w:spacing w:after="240"/>
        <w:ind w:left="720"/>
        <w:jc w:val="both"/>
      </w:pPr>
      <w:r>
        <w:rPr>
          <w:u w:val="single"/>
        </w:rPr>
        <w:t>Rights to Confidential Information</w:t>
      </w:r>
      <w:r>
        <w:t>.  All Confidential Information disclosed hereunder shall remain the property of the Disclosing Party</w:t>
      </w:r>
      <w:r w:rsidR="00BE781F">
        <w:t>.</w:t>
      </w:r>
      <w:r w:rsidR="00655895" w:rsidRPr="00655895">
        <w:t xml:space="preserve"> </w:t>
      </w:r>
      <w:r w:rsidR="00655895">
        <w:t xml:space="preserve">No patent, copyright, trademark or other proprietary right is licensed, granted or otherwise transferred by this Agreement or any disclosure hereunder.   </w:t>
      </w:r>
      <w:r w:rsidR="00B332CB">
        <w:t>The Receiving Party shall not use for any purpose any residuals resulting from access to or work with such Confidential Information, even if the Receiving Party shall maintain the confidentiality of the Confidential Information as provided herein</w:t>
      </w:r>
      <w:r w:rsidR="00AE63CD">
        <w:t xml:space="preserve">, except for the furtherance of the </w:t>
      </w:r>
      <w:r w:rsidR="004C4B5A">
        <w:t>Business Purpose</w:t>
      </w:r>
      <w:r w:rsidR="00AE63CD">
        <w:t xml:space="preserve"> or pursuant to a separate agreement between the Parties</w:t>
      </w:r>
      <w:r w:rsidR="00B332CB">
        <w:t>.  The term “residuals” means information in non</w:t>
      </w:r>
      <w:r w:rsidR="00B332CB">
        <w:noBreakHyphen/>
        <w:t>tangible form, which may be retained by persons who have had access to the Confidential Information, including ideas, concepts, know</w:t>
      </w:r>
      <w:r w:rsidR="00B332CB">
        <w:noBreakHyphen/>
        <w:t xml:space="preserve">how or techniques contained therein. </w:t>
      </w:r>
      <w:r w:rsidR="001A0137">
        <w:t xml:space="preserve">The terms of confidentiality under this Agreement shall not be construed to limit either party’s right to independently develop or acquire products without use of the other party’s Confidential Information.    </w:t>
      </w:r>
    </w:p>
    <w:p w14:paraId="4FC1F33E" w14:textId="77777777" w:rsidR="004D409A" w:rsidRDefault="004D409A" w:rsidP="004C4B5A">
      <w:pPr>
        <w:widowControl/>
        <w:numPr>
          <w:ilvl w:val="0"/>
          <w:numId w:val="10"/>
        </w:numPr>
        <w:tabs>
          <w:tab w:val="num" w:pos="720"/>
        </w:tabs>
        <w:suppressAutoHyphens/>
        <w:spacing w:after="240"/>
        <w:ind w:left="720"/>
        <w:jc w:val="both"/>
      </w:pPr>
      <w:r w:rsidRPr="00151DA2">
        <w:rPr>
          <w:u w:val="single"/>
        </w:rPr>
        <w:t>Authorization and Reliance</w:t>
      </w:r>
      <w:r>
        <w:t>.  Disclosing Party represents and warrants that it has the authority to disclose Confidential Information to the Receiving Party.  Disclosing Party believes in good faith that the Confidential Information to be provided by it hereunder will not be materially misleading, but the Disclosing Party makes no other representation or warranties, express or implied, as to the quality, accuracy, completeness or reliability of the information so disclosed.  Disclosing Party, its directors, officers and employees shall have no liability whatsoever with respect to the use of or reliance upon the Confidential Information by the Receiving Party.</w:t>
      </w:r>
    </w:p>
    <w:p w14:paraId="5D31F4E7" w14:textId="758E3AE0" w:rsidR="00A503B3" w:rsidRPr="00A503B3" w:rsidRDefault="00A503B3" w:rsidP="004C4B5A">
      <w:pPr>
        <w:widowControl/>
        <w:numPr>
          <w:ilvl w:val="0"/>
          <w:numId w:val="10"/>
        </w:numPr>
        <w:tabs>
          <w:tab w:val="num" w:pos="720"/>
        </w:tabs>
        <w:suppressAutoHyphens/>
        <w:spacing w:after="240"/>
        <w:ind w:left="720"/>
        <w:jc w:val="both"/>
      </w:pPr>
      <w:r>
        <w:rPr>
          <w:u w:val="single"/>
        </w:rPr>
        <w:t>Liability</w:t>
      </w:r>
      <w:r>
        <w:t xml:space="preserve">.    </w:t>
      </w:r>
      <w:r w:rsidRPr="00A503B3">
        <w:t>Without limitation and in addition to any rights a Party (the “Non-Defaulting Party”) may have against the other Party (the "Defaulting Party") arising by reason of any breach hereof by the Defaulting Party, the Defaulting Party shall:</w:t>
      </w:r>
      <w:r>
        <w:t xml:space="preserve"> (a) </w:t>
      </w:r>
      <w:r w:rsidRPr="00A503B3">
        <w:t>be liable to the Non-Defaulting Party for all actions, proceedings, claims, demands, losses, costs, damages and expenses whatsoever (which includes the solicitor-client costs of the Non-Defaulting Party) which they may suffer, sustain, pay or incur; and</w:t>
      </w:r>
      <w:r>
        <w:t xml:space="preserve"> (b) </w:t>
      </w:r>
      <w:r w:rsidRPr="00A503B3">
        <w:t xml:space="preserve">indemnify the Non-Defaulting Party against all actions, proceedings, claims, demands, losses, costs, damages and expenses whatsoever which may be brought against or suffered by the Non-Defaulting Party or which </w:t>
      </w:r>
      <w:r>
        <w:t>they</w:t>
      </w:r>
      <w:r w:rsidRPr="00A503B3">
        <w:t xml:space="preserve"> may suffer, sustain, pay or incur (which includes the solicitor-client costs of the Non-Defaulting Party);</w:t>
      </w:r>
    </w:p>
    <w:p w14:paraId="77845CEC" w14:textId="7F2C20F8" w:rsidR="00A503B3" w:rsidRDefault="00A503B3" w:rsidP="004C4B5A">
      <w:pPr>
        <w:widowControl/>
        <w:numPr>
          <w:ilvl w:val="0"/>
          <w:numId w:val="10"/>
        </w:numPr>
        <w:tabs>
          <w:tab w:val="num" w:pos="720"/>
        </w:tabs>
        <w:suppressAutoHyphens/>
        <w:spacing w:after="240"/>
        <w:ind w:left="720"/>
        <w:jc w:val="both"/>
      </w:pPr>
      <w:r>
        <w:rPr>
          <w:u w:val="single"/>
        </w:rPr>
        <w:t>Notices</w:t>
      </w:r>
      <w:r>
        <w:t xml:space="preserve">.     </w:t>
      </w:r>
      <w:r w:rsidRPr="00A503B3">
        <w:t>All notices given in respect of this Agreement shall be in writing and either delivered by hand (whether personally or by overnight courier) or sent by email or facsimile as follows:</w:t>
      </w:r>
    </w:p>
    <w:p w14:paraId="5AF9BA09" w14:textId="60239B3C" w:rsidR="00A503B3" w:rsidRDefault="00A503B3" w:rsidP="00A503B3">
      <w:pPr>
        <w:widowControl/>
        <w:suppressAutoHyphens/>
        <w:spacing w:after="240"/>
        <w:ind w:left="720"/>
        <w:jc w:val="both"/>
      </w:pPr>
      <w:r>
        <w:t>WGL:</w:t>
      </w:r>
    </w:p>
    <w:p w14:paraId="51073DB7" w14:textId="22F049BF" w:rsidR="00A503B3" w:rsidRDefault="00A503B3" w:rsidP="00A503B3">
      <w:pPr>
        <w:widowControl/>
        <w:suppressAutoHyphens/>
        <w:spacing w:after="240"/>
        <w:ind w:left="1440"/>
      </w:pPr>
      <w:r>
        <w:t>Washington Gas Light Company</w:t>
      </w:r>
      <w:r>
        <w:br/>
        <w:t>6801 Industrial Road</w:t>
      </w:r>
      <w:r>
        <w:br/>
        <w:t>Springfield, VA 22151</w:t>
      </w:r>
    </w:p>
    <w:p w14:paraId="7749F18F" w14:textId="0485165E" w:rsidR="00A503B3" w:rsidRDefault="00A503B3" w:rsidP="00A503B3">
      <w:pPr>
        <w:widowControl/>
        <w:suppressAutoHyphens/>
        <w:spacing w:after="240"/>
        <w:ind w:left="1440"/>
      </w:pPr>
      <w:r>
        <w:t>Attention:</w:t>
      </w:r>
      <w:r>
        <w:tab/>
        <w:t>Senior Vice President &amp; General Counsel</w:t>
      </w:r>
      <w:r>
        <w:br/>
        <w:t>Telephone:</w:t>
      </w:r>
      <w:r>
        <w:tab/>
        <w:t>(202) 624-6113</w:t>
      </w:r>
      <w:r>
        <w:br/>
        <w:t>Email:</w:t>
      </w:r>
      <w:r>
        <w:tab/>
      </w:r>
      <w:r>
        <w:tab/>
      </w:r>
      <w:hyperlink r:id="rId11" w:history="1">
        <w:r w:rsidRPr="00A27866">
          <w:rPr>
            <w:rStyle w:val="Hyperlink"/>
          </w:rPr>
          <w:t>khardwick@washgas.com</w:t>
        </w:r>
      </w:hyperlink>
      <w:r>
        <w:br/>
        <w:t>Facsimile:</w:t>
      </w:r>
      <w:r>
        <w:tab/>
        <w:t>(202) 624-6330</w:t>
      </w:r>
    </w:p>
    <w:p w14:paraId="00B7B4D2" w14:textId="2DB7A34F" w:rsidR="00A503B3" w:rsidRDefault="00A503B3" w:rsidP="00A503B3">
      <w:pPr>
        <w:widowControl/>
        <w:suppressAutoHyphens/>
        <w:spacing w:after="240"/>
      </w:pPr>
      <w:r>
        <w:tab/>
        <w:t>With a copy to:</w:t>
      </w:r>
    </w:p>
    <w:p w14:paraId="11DD616C" w14:textId="67C90AD3" w:rsidR="00A503B3" w:rsidRDefault="00A503B3" w:rsidP="00A503B3">
      <w:pPr>
        <w:widowControl/>
        <w:suppressAutoHyphens/>
        <w:spacing w:after="240"/>
        <w:ind w:left="1440"/>
      </w:pPr>
      <w:r>
        <w:t>AltaGas Services (U.S.) Inc.</w:t>
      </w:r>
      <w:r>
        <w:br/>
        <w:t>1000 Maine Avenue SW, Suite 700</w:t>
      </w:r>
      <w:r>
        <w:br/>
        <w:t>Washington, DC 20024</w:t>
      </w:r>
    </w:p>
    <w:p w14:paraId="7900EC2E" w14:textId="5E77AFB9" w:rsidR="00A503B3" w:rsidRDefault="00A503B3" w:rsidP="00A503B3">
      <w:pPr>
        <w:widowControl/>
        <w:suppressAutoHyphens/>
        <w:spacing w:after="240"/>
        <w:ind w:left="1440"/>
      </w:pPr>
      <w:r>
        <w:t>Attention:</w:t>
      </w:r>
      <w:r>
        <w:tab/>
        <w:t>Executive Vice President, Chief Legal Officer</w:t>
      </w:r>
      <w:r>
        <w:br/>
        <w:t>Telephone:</w:t>
      </w:r>
      <w:r>
        <w:tab/>
        <w:t>(403) 691-7575</w:t>
      </w:r>
      <w:r>
        <w:br/>
        <w:t>Email:</w:t>
      </w:r>
      <w:r>
        <w:tab/>
      </w:r>
      <w:r>
        <w:tab/>
      </w:r>
      <w:hyperlink r:id="rId12" w:history="1">
        <w:r w:rsidRPr="00A27866">
          <w:rPr>
            <w:rStyle w:val="Hyperlink"/>
          </w:rPr>
          <w:t>gc@altagas.ca</w:t>
        </w:r>
      </w:hyperlink>
      <w:r>
        <w:br/>
        <w:t>Facsimile:</w:t>
      </w:r>
      <w:r>
        <w:tab/>
        <w:t>(403) 691-7508</w:t>
      </w:r>
    </w:p>
    <w:p w14:paraId="309D2705" w14:textId="20F0CED7" w:rsidR="00A503B3" w:rsidRDefault="00A503B3" w:rsidP="00A503B3">
      <w:pPr>
        <w:widowControl/>
        <w:suppressAutoHyphens/>
        <w:spacing w:after="240"/>
      </w:pPr>
      <w:r>
        <w:tab/>
        <w:t>Company:</w:t>
      </w:r>
    </w:p>
    <w:p w14:paraId="513BD835" w14:textId="7C4AC15E" w:rsidR="00A503B3" w:rsidRDefault="00A503B3" w:rsidP="00A503B3">
      <w:pPr>
        <w:widowControl/>
        <w:suppressAutoHyphens/>
        <w:spacing w:after="240"/>
        <w:rPr>
          <w:b/>
        </w:rPr>
      </w:pPr>
      <w:r>
        <w:tab/>
      </w:r>
      <w:r>
        <w:tab/>
      </w:r>
      <w:r w:rsidRPr="00A503B3">
        <w:rPr>
          <w:b/>
          <w:highlight w:val="yellow"/>
        </w:rPr>
        <w:t>[Company]</w:t>
      </w:r>
      <w:r>
        <w:rPr>
          <w:b/>
        </w:rPr>
        <w:br/>
      </w:r>
      <w:r>
        <w:rPr>
          <w:b/>
        </w:rPr>
        <w:tab/>
      </w:r>
      <w:r>
        <w:rPr>
          <w:b/>
        </w:rPr>
        <w:tab/>
      </w:r>
      <w:r w:rsidRPr="00A503B3">
        <w:rPr>
          <w:b/>
          <w:highlight w:val="yellow"/>
        </w:rPr>
        <w:t>[Address]</w:t>
      </w:r>
    </w:p>
    <w:p w14:paraId="5AE91C0C" w14:textId="5D3CBFEC" w:rsidR="00A503B3" w:rsidRPr="00A503B3" w:rsidRDefault="00A503B3" w:rsidP="00A503B3">
      <w:pPr>
        <w:widowControl/>
        <w:suppressAutoHyphens/>
        <w:spacing w:after="240"/>
        <w:ind w:left="1440"/>
        <w:rPr>
          <w:b/>
        </w:rPr>
      </w:pPr>
      <w:r>
        <w:t>Attention:</w:t>
      </w:r>
      <w:r>
        <w:tab/>
      </w:r>
      <w:r w:rsidRPr="00A503B3">
        <w:rPr>
          <w:highlight w:val="yellow"/>
        </w:rPr>
        <w:t>[•]</w:t>
      </w:r>
      <w:r>
        <w:br/>
        <w:t>Telephone:</w:t>
      </w:r>
      <w:r>
        <w:tab/>
      </w:r>
      <w:r w:rsidRPr="00A503B3">
        <w:rPr>
          <w:highlight w:val="yellow"/>
        </w:rPr>
        <w:t>[•]</w:t>
      </w:r>
      <w:r>
        <w:br/>
        <w:t>Email:</w:t>
      </w:r>
      <w:r>
        <w:tab/>
      </w:r>
      <w:r>
        <w:tab/>
      </w:r>
      <w:r w:rsidRPr="00A503B3">
        <w:rPr>
          <w:highlight w:val="yellow"/>
        </w:rPr>
        <w:t>[•]</w:t>
      </w:r>
      <w:r>
        <w:br/>
        <w:t>Facsimile:</w:t>
      </w:r>
      <w:r>
        <w:tab/>
      </w:r>
      <w:r w:rsidRPr="00A503B3">
        <w:rPr>
          <w:highlight w:val="yellow"/>
        </w:rPr>
        <w:t>[•]</w:t>
      </w:r>
    </w:p>
    <w:p w14:paraId="5E9D7148" w14:textId="6C759FE7" w:rsidR="006C3C2F" w:rsidRDefault="004D409A" w:rsidP="004C4B5A">
      <w:pPr>
        <w:widowControl/>
        <w:numPr>
          <w:ilvl w:val="0"/>
          <w:numId w:val="10"/>
        </w:numPr>
        <w:tabs>
          <w:tab w:val="num" w:pos="720"/>
        </w:tabs>
        <w:suppressAutoHyphens/>
        <w:spacing w:after="240"/>
        <w:ind w:left="720"/>
        <w:jc w:val="both"/>
      </w:pPr>
      <w:r w:rsidRPr="00427CFE">
        <w:rPr>
          <w:u w:val="single"/>
        </w:rPr>
        <w:t>Term</w:t>
      </w:r>
      <w:r>
        <w:t xml:space="preserve">.  This Agreement shall remain in effect for </w:t>
      </w:r>
      <w:r w:rsidR="001017CD">
        <w:t>two (2) years</w:t>
      </w:r>
      <w:r>
        <w:t xml:space="preserve"> </w:t>
      </w:r>
      <w:r w:rsidRPr="004244C1">
        <w:t xml:space="preserve">after the date of </w:t>
      </w:r>
      <w:r>
        <w:t xml:space="preserve">the </w:t>
      </w:r>
      <w:r w:rsidRPr="004244C1">
        <w:t>Agreement</w:t>
      </w:r>
      <w:r w:rsidR="001017CD">
        <w:t xml:space="preserve">; </w:t>
      </w:r>
      <w:r w:rsidR="001017CD" w:rsidRPr="001017CD">
        <w:t xml:space="preserve">provided, however, </w:t>
      </w:r>
      <w:proofErr w:type="gramStart"/>
      <w:r w:rsidR="001017CD" w:rsidRPr="001017CD">
        <w:t>with regard to</w:t>
      </w:r>
      <w:proofErr w:type="gramEnd"/>
      <w:r w:rsidR="001017CD" w:rsidRPr="001017CD">
        <w:t xml:space="preserve"> </w:t>
      </w:r>
      <w:r w:rsidR="001017CD">
        <w:t>t</w:t>
      </w:r>
      <w:r w:rsidR="001017CD" w:rsidRPr="001017CD">
        <w:t xml:space="preserve">rade </w:t>
      </w:r>
      <w:r w:rsidR="001017CD">
        <w:t>s</w:t>
      </w:r>
      <w:r w:rsidR="001017CD" w:rsidRPr="001017CD">
        <w:t xml:space="preserve">ecrets, this Agreement shall remain in effect until such </w:t>
      </w:r>
      <w:r w:rsidR="001017CD">
        <w:t xml:space="preserve">Confidential </w:t>
      </w:r>
      <w:r w:rsidR="001017CD" w:rsidRPr="001017CD">
        <w:t xml:space="preserve">Information no longer qualifies as a </w:t>
      </w:r>
      <w:r w:rsidR="001017CD">
        <w:t>t</w:t>
      </w:r>
      <w:r w:rsidR="001017CD" w:rsidRPr="001017CD">
        <w:t xml:space="preserve">rade </w:t>
      </w:r>
      <w:r w:rsidR="001017CD">
        <w:t>s</w:t>
      </w:r>
      <w:r w:rsidR="001017CD" w:rsidRPr="001017CD">
        <w:t>ecret.</w:t>
      </w:r>
      <w:r w:rsidR="001017CD">
        <w:t xml:space="preserve"> </w:t>
      </w:r>
    </w:p>
    <w:p w14:paraId="590FB63D" w14:textId="6684518C" w:rsidR="00427CFE" w:rsidRPr="00427CFE" w:rsidRDefault="00427CFE" w:rsidP="004C4B5A">
      <w:pPr>
        <w:widowControl/>
        <w:numPr>
          <w:ilvl w:val="0"/>
          <w:numId w:val="10"/>
        </w:numPr>
        <w:tabs>
          <w:tab w:val="num" w:pos="720"/>
        </w:tabs>
        <w:suppressAutoHyphens/>
        <w:spacing w:after="240"/>
        <w:ind w:left="720"/>
        <w:jc w:val="both"/>
      </w:pPr>
      <w:r w:rsidRPr="00427CFE">
        <w:rPr>
          <w:u w:val="single"/>
        </w:rPr>
        <w:t>Governing Law</w:t>
      </w:r>
      <w:r>
        <w:t xml:space="preserve">.  </w:t>
      </w:r>
      <w:r w:rsidR="001017CD" w:rsidRPr="001017CD">
        <w:t xml:space="preserve">This Agreement shall be governed by and construed in accordance with the laws of the Commonwealth of Virginia (except those laws which would require the application of the laws of any other state). </w:t>
      </w:r>
      <w:r w:rsidR="00DD1558">
        <w:t>Any lawsuit, claim, dispute or other action related to this Agreement must be brough</w:t>
      </w:r>
      <w:r w:rsidR="00032F7C">
        <w:t>t</w:t>
      </w:r>
      <w:r w:rsidR="00DD1558">
        <w:t xml:space="preserve"> only in an appropriate federal or state court sitting in the Commonwealth of Virginia. The Parties specifically consent to the personal jurisdiction of the federal or state courts sitting in the Commonwealth of Virginia with regard to any such action and they specifically agree that the sole appropriate venue for any such lawsuit is the federal or state courts sitting in the Commonwealth of Virginia.</w:t>
      </w:r>
    </w:p>
    <w:p w14:paraId="4ACF2F41" w14:textId="00F3F4DB" w:rsidR="0003244F" w:rsidRPr="0003244F" w:rsidRDefault="00B332CB" w:rsidP="004C4B5A">
      <w:pPr>
        <w:widowControl/>
        <w:numPr>
          <w:ilvl w:val="0"/>
          <w:numId w:val="10"/>
        </w:numPr>
        <w:tabs>
          <w:tab w:val="num" w:pos="720"/>
        </w:tabs>
        <w:suppressAutoHyphens/>
        <w:spacing w:after="240"/>
        <w:ind w:left="720"/>
        <w:jc w:val="both"/>
      </w:pPr>
      <w:r>
        <w:rPr>
          <w:u w:val="single"/>
        </w:rPr>
        <w:t>Entire Agreement</w:t>
      </w:r>
      <w:r w:rsidR="00427CFE">
        <w:t xml:space="preserve">.  </w:t>
      </w:r>
      <w:r w:rsidR="001447BB" w:rsidRPr="00427CFE">
        <w:t>This</w:t>
      </w:r>
      <w:r w:rsidR="001447BB" w:rsidRPr="001447BB">
        <w:t xml:space="preserve"> Agreement</w:t>
      </w:r>
      <w:r w:rsidR="00427CFE">
        <w:t>:</w:t>
      </w:r>
      <w:r w:rsidR="001447BB" w:rsidRPr="001447BB">
        <w:t xml:space="preserve"> (a) contains the entire agreement and understanding between the Parties, their agents, and employees as to the subject matter of this Agreement</w:t>
      </w:r>
      <w:r w:rsidR="00427CFE">
        <w:t>;</w:t>
      </w:r>
      <w:r w:rsidR="001447BB" w:rsidRPr="001447BB">
        <w:t xml:space="preserve"> (b) supersedes in their entirety any and all previous communications between the Parties (including all previous versions of this Agreement, if any) as to the subject matter of this Agreement</w:t>
      </w:r>
      <w:r w:rsidR="00427CFE">
        <w:t>;</w:t>
      </w:r>
      <w:r w:rsidR="001447BB" w:rsidRPr="001447BB">
        <w:t xml:space="preserve"> and (c) shall only be modified in writing by the Parties.</w:t>
      </w:r>
      <w:r w:rsidR="00655895">
        <w:t xml:space="preserve"> </w:t>
      </w:r>
      <w:r w:rsidR="00655895" w:rsidRPr="000B3F54">
        <w:t>Neither Party shall have the right to assign its rights or obligations hereunder, in whole or in part, without obtaining the prior written consent of the other Party and any attempted assignment without such prior written consent shall be void.</w:t>
      </w:r>
      <w:r w:rsidR="00655895">
        <w:t xml:space="preserve"> </w:t>
      </w:r>
    </w:p>
    <w:p w14:paraId="0954BC70" w14:textId="16EEC36E" w:rsidR="0003244F" w:rsidRPr="00F3120B" w:rsidRDefault="0003244F" w:rsidP="004C4B5A">
      <w:pPr>
        <w:widowControl/>
        <w:numPr>
          <w:ilvl w:val="0"/>
          <w:numId w:val="10"/>
        </w:numPr>
        <w:tabs>
          <w:tab w:val="num" w:pos="720"/>
        </w:tabs>
        <w:suppressAutoHyphens/>
        <w:spacing w:after="240"/>
        <w:ind w:left="720"/>
        <w:jc w:val="both"/>
      </w:pPr>
      <w:r>
        <w:rPr>
          <w:u w:val="single"/>
        </w:rPr>
        <w:t>Remedies</w:t>
      </w:r>
      <w:r w:rsidRPr="00F3120B">
        <w:t>. The Parties acknowledge that irreparable damage would occur in the event that any of the provisions of this Agreement were not performed in accordance with their specific terms and agree that they shall be entitled to seek injunctive relief to prevent any breach of this Agreement and to seek specific enforcement of the terms hereof, in addition to any other remedy to which they are entitled.</w:t>
      </w:r>
    </w:p>
    <w:p w14:paraId="12CDD6C7" w14:textId="77777777" w:rsidR="00B332CB" w:rsidRDefault="00B332CB" w:rsidP="004C4B5A">
      <w:pPr>
        <w:widowControl/>
        <w:numPr>
          <w:ilvl w:val="0"/>
          <w:numId w:val="10"/>
        </w:numPr>
        <w:tabs>
          <w:tab w:val="num" w:pos="720"/>
        </w:tabs>
        <w:suppressAutoHyphens/>
        <w:spacing w:after="240"/>
        <w:ind w:left="720"/>
        <w:jc w:val="both"/>
      </w:pPr>
      <w:r>
        <w:rPr>
          <w:u w:val="single"/>
        </w:rPr>
        <w:t>Severability</w:t>
      </w:r>
      <w:r>
        <w:t xml:space="preserve">.  </w:t>
      </w:r>
      <w:r w:rsidR="001447BB" w:rsidRPr="001447BB">
        <w:t>If any portion of this Agreement will for any reason be held or adjudged to be invalid or illegal or unenforceable by any court of competent jurisdiction, such portion so adjudged will be deemed separate, distinct and independent and the remainder of this Agreement will be and remain in full force and effect and will not be invalidated or rendered illegal or unenforceable or otherwise affected by such holding or adjudication.</w:t>
      </w:r>
    </w:p>
    <w:p w14:paraId="7DB54BB5" w14:textId="77777777" w:rsidR="004D409A" w:rsidRDefault="00B332CB" w:rsidP="004C4B5A">
      <w:pPr>
        <w:widowControl/>
        <w:numPr>
          <w:ilvl w:val="0"/>
          <w:numId w:val="10"/>
        </w:numPr>
        <w:tabs>
          <w:tab w:val="num" w:pos="720"/>
        </w:tabs>
        <w:suppressAutoHyphens/>
        <w:spacing w:after="240"/>
        <w:ind w:left="720"/>
        <w:jc w:val="both"/>
      </w:pPr>
      <w:r>
        <w:rPr>
          <w:u w:val="single"/>
        </w:rPr>
        <w:t>No Further Agreement</w:t>
      </w:r>
      <w:r w:rsidR="004D409A">
        <w:rPr>
          <w:u w:val="single"/>
        </w:rPr>
        <w:t xml:space="preserve"> or Exclusivity</w:t>
      </w:r>
      <w:r>
        <w:t>.</w:t>
      </w:r>
      <w:r w:rsidR="001447BB">
        <w:t xml:space="preserve"> </w:t>
      </w:r>
      <w:r w:rsidR="00427CFE">
        <w:t xml:space="preserve"> </w:t>
      </w:r>
      <w:r w:rsidR="001447BB" w:rsidRPr="001447BB">
        <w:t xml:space="preserve">Nothing in this Agreement </w:t>
      </w:r>
      <w:r w:rsidR="004D409A">
        <w:t>nor the furnishing of Confidential Information hereunder shall be construed in any way as obligating either Party</w:t>
      </w:r>
      <w:r w:rsidR="004D409A" w:rsidRPr="001447BB">
        <w:t xml:space="preserve"> </w:t>
      </w:r>
      <w:r w:rsidR="001447BB" w:rsidRPr="001447BB">
        <w:t xml:space="preserve">to enter into </w:t>
      </w:r>
      <w:r w:rsidR="004D409A">
        <w:t>any other agreement, negotiation or transaction with the other or to refrain from entering into an agreement, negotiation or transaction with any other person, including without limitation any person engaged in the same or similar line of business as the other Party</w:t>
      </w:r>
      <w:r w:rsidR="00501468">
        <w:t>.</w:t>
      </w:r>
    </w:p>
    <w:p w14:paraId="2F266088" w14:textId="486C03C4" w:rsidR="00B332CB" w:rsidRPr="00B332CB" w:rsidRDefault="00B332CB" w:rsidP="004C4B5A">
      <w:pPr>
        <w:widowControl/>
        <w:numPr>
          <w:ilvl w:val="0"/>
          <w:numId w:val="10"/>
        </w:numPr>
        <w:tabs>
          <w:tab w:val="num" w:pos="720"/>
        </w:tabs>
        <w:suppressAutoHyphens/>
        <w:spacing w:after="240"/>
        <w:ind w:left="720"/>
        <w:jc w:val="both"/>
      </w:pPr>
      <w:r>
        <w:rPr>
          <w:u w:val="single"/>
        </w:rPr>
        <w:t>Successors and Assigns</w:t>
      </w:r>
      <w:r w:rsidRPr="00B332CB">
        <w:rPr>
          <w:szCs w:val="24"/>
        </w:rPr>
        <w:t>.</w:t>
      </w:r>
      <w:r>
        <w:rPr>
          <w:szCs w:val="24"/>
        </w:rPr>
        <w:t xml:space="preserve">  </w:t>
      </w:r>
      <w:r w:rsidR="00427CFE" w:rsidRPr="00427CFE">
        <w:rPr>
          <w:szCs w:val="24"/>
        </w:rPr>
        <w:t xml:space="preserve">This Agreement is binding upon and inures to the benefit of the </w:t>
      </w:r>
      <w:r w:rsidR="00427CFE">
        <w:rPr>
          <w:szCs w:val="24"/>
        </w:rPr>
        <w:t>P</w:t>
      </w:r>
      <w:r w:rsidR="00427CFE" w:rsidRPr="00427CFE">
        <w:rPr>
          <w:szCs w:val="24"/>
        </w:rPr>
        <w:t>arties and their respective successors and assigns.</w:t>
      </w:r>
    </w:p>
    <w:p w14:paraId="77B489CA" w14:textId="77777777" w:rsidR="008C0059" w:rsidRDefault="00B332CB" w:rsidP="004C4B5A">
      <w:pPr>
        <w:widowControl/>
        <w:numPr>
          <w:ilvl w:val="0"/>
          <w:numId w:val="10"/>
        </w:numPr>
        <w:tabs>
          <w:tab w:val="num" w:pos="720"/>
        </w:tabs>
        <w:suppressAutoHyphens/>
        <w:spacing w:after="240"/>
        <w:ind w:left="720"/>
        <w:jc w:val="both"/>
      </w:pPr>
      <w:r w:rsidRPr="008C0059">
        <w:rPr>
          <w:u w:val="single"/>
        </w:rPr>
        <w:t>Counterparts</w:t>
      </w:r>
      <w:r w:rsidRPr="00B332CB">
        <w:t>.</w:t>
      </w:r>
      <w:r>
        <w:t xml:space="preserve">  </w:t>
      </w:r>
      <w:r w:rsidR="00427CFE" w:rsidRPr="001447BB">
        <w:t>This Agreement may be executed in multiple counterparts, each of which shall constitute an original, but all of which when taken together shall constitute one and the same agreement.</w:t>
      </w:r>
      <w:r w:rsidR="00427CFE">
        <w:t xml:space="preserve">  </w:t>
      </w:r>
    </w:p>
    <w:p w14:paraId="5CA1ABF1" w14:textId="2F2A7E4D" w:rsidR="00C571FE" w:rsidRDefault="00C571FE" w:rsidP="004C4B5A">
      <w:pPr>
        <w:widowControl/>
        <w:suppressAutoHyphens/>
        <w:spacing w:after="240"/>
        <w:jc w:val="center"/>
      </w:pPr>
      <w:r>
        <w:t>[SIGNATURE PAGE FOLLOWS]</w:t>
      </w:r>
    </w:p>
    <w:p w14:paraId="0C3C1D61" w14:textId="793FB7B3" w:rsidR="00005CE4" w:rsidRDefault="00005CE4" w:rsidP="00005CE4">
      <w:pPr>
        <w:widowControl/>
        <w:suppressAutoHyphens/>
        <w:spacing w:after="240"/>
        <w:ind w:left="1080"/>
      </w:pPr>
    </w:p>
    <w:p w14:paraId="1C774757" w14:textId="26F88B15" w:rsidR="00005CE4" w:rsidRDefault="00005CE4" w:rsidP="00005CE4">
      <w:pPr>
        <w:widowControl/>
        <w:suppressAutoHyphens/>
        <w:spacing w:after="240"/>
        <w:ind w:left="1080"/>
      </w:pPr>
    </w:p>
    <w:p w14:paraId="27FC5A21" w14:textId="171A71FE" w:rsidR="00005CE4" w:rsidRDefault="00005CE4" w:rsidP="00005CE4">
      <w:pPr>
        <w:widowControl/>
        <w:suppressAutoHyphens/>
        <w:spacing w:after="240"/>
        <w:ind w:left="1080"/>
      </w:pPr>
    </w:p>
    <w:p w14:paraId="6C93D41E" w14:textId="7E3D8199" w:rsidR="00005CE4" w:rsidRDefault="00005CE4" w:rsidP="00005CE4">
      <w:pPr>
        <w:widowControl/>
        <w:suppressAutoHyphens/>
        <w:spacing w:after="240"/>
        <w:ind w:left="1080"/>
      </w:pPr>
    </w:p>
    <w:p w14:paraId="18A1D0C8" w14:textId="12D3486C" w:rsidR="00005CE4" w:rsidRDefault="00005CE4" w:rsidP="00005CE4">
      <w:pPr>
        <w:widowControl/>
        <w:suppressAutoHyphens/>
        <w:spacing w:after="240"/>
        <w:ind w:left="1080"/>
      </w:pPr>
    </w:p>
    <w:p w14:paraId="4E8E20D0" w14:textId="3D8DB3A3" w:rsidR="00005CE4" w:rsidRDefault="00005CE4" w:rsidP="00005CE4">
      <w:pPr>
        <w:widowControl/>
        <w:suppressAutoHyphens/>
        <w:spacing w:after="240"/>
        <w:ind w:left="1080"/>
      </w:pPr>
    </w:p>
    <w:p w14:paraId="00315986" w14:textId="00440CFA" w:rsidR="00005CE4" w:rsidRDefault="00005CE4" w:rsidP="00005CE4">
      <w:pPr>
        <w:widowControl/>
        <w:suppressAutoHyphens/>
        <w:spacing w:after="240"/>
        <w:ind w:left="1080"/>
      </w:pPr>
    </w:p>
    <w:p w14:paraId="4DB27523" w14:textId="5244AF45" w:rsidR="00005CE4" w:rsidRDefault="00005CE4" w:rsidP="00005CE4">
      <w:pPr>
        <w:widowControl/>
        <w:suppressAutoHyphens/>
        <w:spacing w:after="240"/>
        <w:ind w:left="1080"/>
      </w:pPr>
    </w:p>
    <w:p w14:paraId="3004D00C" w14:textId="77777777" w:rsidR="00005CE4" w:rsidRDefault="00005CE4" w:rsidP="00005CE4">
      <w:pPr>
        <w:widowControl/>
        <w:suppressAutoHyphens/>
        <w:spacing w:after="240"/>
        <w:ind w:left="1080"/>
      </w:pPr>
    </w:p>
    <w:p w14:paraId="6B33D235" w14:textId="2A17D8CD" w:rsidR="003F50E1" w:rsidRDefault="003F50E1" w:rsidP="001A0137">
      <w:pPr>
        <w:widowControl/>
      </w:pPr>
      <w:r>
        <w:t xml:space="preserve">IN WITNESS WHEREOF, the </w:t>
      </w:r>
      <w:r w:rsidR="00181CCC">
        <w:t>P</w:t>
      </w:r>
      <w:r>
        <w:t xml:space="preserve">arties have </w:t>
      </w:r>
      <w:r w:rsidR="00181CCC">
        <w:t>executed this Agreement as of the date first set forth above.</w:t>
      </w:r>
    </w:p>
    <w:p w14:paraId="6FE4EBF7" w14:textId="77777777" w:rsidR="001A0137" w:rsidRDefault="001A0137" w:rsidP="00005CE4">
      <w:pPr>
        <w:widowControl/>
      </w:pPr>
    </w:p>
    <w:p w14:paraId="3E141AA3" w14:textId="0A26E13F" w:rsidR="003F50E1" w:rsidRDefault="00D435DA" w:rsidP="00655895">
      <w:pPr>
        <w:widowControl/>
        <w:tabs>
          <w:tab w:val="left" w:pos="5040"/>
        </w:tabs>
        <w:suppressAutoHyphens/>
      </w:pPr>
      <w:r>
        <w:t>Washington Gas Light Company</w:t>
      </w:r>
      <w:r w:rsidR="00181CCC">
        <w:tab/>
      </w:r>
      <w:r w:rsidR="004C4B5A" w:rsidRPr="004C4B5A">
        <w:rPr>
          <w:b/>
          <w:szCs w:val="24"/>
          <w:highlight w:val="yellow"/>
        </w:rPr>
        <w:t>[Co</w:t>
      </w:r>
      <w:r w:rsidR="004C4B5A">
        <w:rPr>
          <w:b/>
          <w:szCs w:val="24"/>
          <w:highlight w:val="yellow"/>
        </w:rPr>
        <w:t>mpany</w:t>
      </w:r>
      <w:r w:rsidR="004C4B5A" w:rsidRPr="004C4B5A">
        <w:rPr>
          <w:b/>
          <w:szCs w:val="24"/>
          <w:highlight w:val="yellow"/>
        </w:rPr>
        <w:t>]</w:t>
      </w:r>
    </w:p>
    <w:p w14:paraId="244EC1E6" w14:textId="77777777" w:rsidR="003F50E1" w:rsidRDefault="003F50E1" w:rsidP="004977AF">
      <w:pPr>
        <w:widowControl/>
        <w:suppressAutoHyphens/>
      </w:pPr>
    </w:p>
    <w:p w14:paraId="7C71507E" w14:textId="77777777" w:rsidR="00181CCC" w:rsidRDefault="00181CCC" w:rsidP="004977AF">
      <w:pPr>
        <w:widowControl/>
        <w:suppressAutoHyphens/>
      </w:pPr>
    </w:p>
    <w:p w14:paraId="2229FDF7" w14:textId="77777777" w:rsidR="00181CCC" w:rsidRDefault="003F50E1" w:rsidP="004977AF">
      <w:pPr>
        <w:pStyle w:val="Header"/>
        <w:widowControl/>
        <w:tabs>
          <w:tab w:val="clear" w:pos="4320"/>
          <w:tab w:val="clear" w:pos="8640"/>
          <w:tab w:val="left" w:pos="360"/>
          <w:tab w:val="left" w:pos="5040"/>
          <w:tab w:val="left" w:pos="5400"/>
        </w:tabs>
        <w:suppressAutoHyphens/>
      </w:pPr>
      <w:r>
        <w:t>___________________________</w:t>
      </w:r>
      <w:r w:rsidR="00181CCC">
        <w:t>__</w:t>
      </w:r>
      <w:r w:rsidR="00181CCC">
        <w:tab/>
        <w:t>_____________________________</w:t>
      </w:r>
    </w:p>
    <w:p w14:paraId="4000C0E0" w14:textId="18206FF1" w:rsidR="00181CCC" w:rsidRDefault="00BB2213" w:rsidP="004977AF">
      <w:pPr>
        <w:pStyle w:val="Header"/>
        <w:widowControl/>
        <w:tabs>
          <w:tab w:val="clear" w:pos="4320"/>
          <w:tab w:val="clear" w:pos="8640"/>
          <w:tab w:val="left" w:pos="360"/>
          <w:tab w:val="left" w:pos="5040"/>
          <w:tab w:val="left" w:pos="5400"/>
        </w:tabs>
        <w:suppressAutoHyphens/>
      </w:pPr>
      <w:r>
        <w:t xml:space="preserve">Name: </w:t>
      </w:r>
      <w:r w:rsidR="00181CCC">
        <w:tab/>
        <w:t>Name:</w:t>
      </w:r>
      <w:proofErr w:type="gramStart"/>
      <w:r w:rsidR="00181CCC">
        <w:tab/>
      </w:r>
      <w:r w:rsidR="00E13C67">
        <w:t xml:space="preserve">  </w:t>
      </w:r>
      <w:r w:rsidR="004C4B5A" w:rsidRPr="004C4B5A">
        <w:rPr>
          <w:highlight w:val="yellow"/>
        </w:rPr>
        <w:t>[</w:t>
      </w:r>
      <w:proofErr w:type="gramEnd"/>
      <w:r w:rsidR="004C4B5A" w:rsidRPr="004C4B5A">
        <w:rPr>
          <w:highlight w:val="yellow"/>
        </w:rPr>
        <w:t>•]</w:t>
      </w:r>
    </w:p>
    <w:p w14:paraId="77F42A89" w14:textId="6A3859EC" w:rsidR="003F50E1" w:rsidRPr="00F4313C" w:rsidRDefault="00BB2213" w:rsidP="00F4313C">
      <w:pPr>
        <w:pStyle w:val="Header"/>
        <w:widowControl/>
        <w:tabs>
          <w:tab w:val="clear" w:pos="4320"/>
          <w:tab w:val="clear" w:pos="8640"/>
          <w:tab w:val="left" w:pos="360"/>
          <w:tab w:val="left" w:pos="5040"/>
          <w:tab w:val="left" w:pos="5400"/>
        </w:tabs>
        <w:suppressAutoHyphens/>
      </w:pPr>
      <w:r>
        <w:t xml:space="preserve">Title:   </w:t>
      </w:r>
      <w:r w:rsidR="00181CCC">
        <w:tab/>
        <w:t xml:space="preserve">Title: </w:t>
      </w:r>
      <w:r>
        <w:t xml:space="preserve"> </w:t>
      </w:r>
      <w:proofErr w:type="gramStart"/>
      <w:r>
        <w:t xml:space="preserve">  </w:t>
      </w:r>
      <w:r w:rsidR="00E13C67">
        <w:t xml:space="preserve"> </w:t>
      </w:r>
      <w:r w:rsidR="004C4B5A" w:rsidRPr="004C4B5A">
        <w:rPr>
          <w:highlight w:val="yellow"/>
        </w:rPr>
        <w:t>[</w:t>
      </w:r>
      <w:proofErr w:type="gramEnd"/>
      <w:r w:rsidR="004C4B5A" w:rsidRPr="004C4B5A">
        <w:rPr>
          <w:highlight w:val="yellow"/>
        </w:rPr>
        <w:t>•]</w:t>
      </w:r>
    </w:p>
    <w:sectPr w:rsidR="003F50E1" w:rsidRPr="00F4313C" w:rsidSect="00BB2213">
      <w:footerReference w:type="even" r:id="rId13"/>
      <w:footerReference w:type="default" r:id="rId14"/>
      <w:headerReference w:type="first" r:id="rId15"/>
      <w:endnotePr>
        <w:numFmt w:val="decimal"/>
      </w:endnotePr>
      <w:type w:val="continuous"/>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ED239" w14:textId="77777777" w:rsidR="00A22434" w:rsidRDefault="00A22434">
      <w:r>
        <w:separator/>
      </w:r>
    </w:p>
  </w:endnote>
  <w:endnote w:type="continuationSeparator" w:id="0">
    <w:p w14:paraId="4AD32D02" w14:textId="77777777" w:rsidR="00A22434" w:rsidRDefault="00A2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4271D" w14:textId="77777777" w:rsidR="004C0C21" w:rsidRDefault="0074269E">
    <w:pPr>
      <w:pStyle w:val="Footer"/>
      <w:framePr w:wrap="around" w:vAnchor="text" w:hAnchor="margin" w:xAlign="center" w:y="1"/>
      <w:rPr>
        <w:rStyle w:val="PageNumber"/>
      </w:rPr>
    </w:pPr>
    <w:r>
      <w:rPr>
        <w:rStyle w:val="PageNumber"/>
      </w:rPr>
      <w:fldChar w:fldCharType="begin"/>
    </w:r>
    <w:r w:rsidR="004C0C21">
      <w:rPr>
        <w:rStyle w:val="PageNumber"/>
      </w:rPr>
      <w:instrText xml:space="preserve">PAGE  </w:instrText>
    </w:r>
    <w:r>
      <w:rPr>
        <w:rStyle w:val="PageNumber"/>
      </w:rPr>
      <w:fldChar w:fldCharType="separate"/>
    </w:r>
    <w:r w:rsidR="004C0C21">
      <w:rPr>
        <w:rStyle w:val="PageNumber"/>
        <w:noProof/>
      </w:rPr>
      <w:t>2</w:t>
    </w:r>
    <w:r>
      <w:rPr>
        <w:rStyle w:val="PageNumber"/>
      </w:rPr>
      <w:fldChar w:fldCharType="end"/>
    </w:r>
  </w:p>
  <w:p w14:paraId="57AD4B8A" w14:textId="77777777" w:rsidR="004C0C21" w:rsidRDefault="004C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67790"/>
      <w:docPartObj>
        <w:docPartGallery w:val="Page Numbers (Bottom of Page)"/>
        <w:docPartUnique/>
      </w:docPartObj>
    </w:sdtPr>
    <w:sdtEndPr/>
    <w:sdtContent>
      <w:p w14:paraId="300C4B46" w14:textId="77777777" w:rsidR="004C0C21" w:rsidRDefault="0074269E" w:rsidP="004977AF">
        <w:pPr>
          <w:pStyle w:val="Footer"/>
          <w:jc w:val="center"/>
        </w:pPr>
        <w:r>
          <w:fldChar w:fldCharType="begin"/>
        </w:r>
        <w:r w:rsidR="004E1722">
          <w:instrText xml:space="preserve"> PAGE   \* MERGEFORMAT </w:instrText>
        </w:r>
        <w:r>
          <w:fldChar w:fldCharType="separate"/>
        </w:r>
        <w:r w:rsidR="00D435DA">
          <w:rPr>
            <w:noProof/>
          </w:rPr>
          <w:t>5</w:t>
        </w:r>
        <w:r>
          <w:rPr>
            <w:noProof/>
          </w:rPr>
          <w:fldChar w:fldCharType="end"/>
        </w:r>
      </w:p>
      <w:p w14:paraId="62B07E37" w14:textId="77777777" w:rsidR="004C0C21" w:rsidRDefault="004C0C21" w:rsidP="004977AF">
        <w:pPr>
          <w:pStyle w:val="Footer"/>
          <w:jc w:val="center"/>
        </w:pPr>
      </w:p>
      <w:p w14:paraId="27E6F041" w14:textId="77777777" w:rsidR="004C0C21" w:rsidRDefault="004C0C21" w:rsidP="004977AF">
        <w:pPr>
          <w:pStyle w:val="Footer"/>
          <w:jc w:val="center"/>
        </w:pPr>
      </w:p>
      <w:p w14:paraId="619BB325" w14:textId="77777777" w:rsidR="004C0C21" w:rsidRDefault="00A22434" w:rsidP="004977AF">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73F24" w14:textId="77777777" w:rsidR="00A22434" w:rsidRDefault="00A22434">
      <w:r>
        <w:separator/>
      </w:r>
    </w:p>
  </w:footnote>
  <w:footnote w:type="continuationSeparator" w:id="0">
    <w:p w14:paraId="3599B73F" w14:textId="77777777" w:rsidR="00A22434" w:rsidRDefault="00A22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6B295" w14:textId="77777777" w:rsidR="004C0C21" w:rsidRDefault="004C0C21" w:rsidP="00BB2213">
    <w:pPr>
      <w:pStyle w:val="Header"/>
      <w:tabs>
        <w:tab w:val="clear" w:pos="4320"/>
        <w:tab w:val="clear" w:pos="8640"/>
      </w:tabs>
      <w:jc w:val="right"/>
      <w:rPr>
        <w:sz w:val="20"/>
      </w:rPr>
    </w:pPr>
  </w:p>
  <w:p w14:paraId="48DDD9EA" w14:textId="77777777" w:rsidR="008142D2" w:rsidRDefault="008142D2" w:rsidP="00BB2213">
    <w:pPr>
      <w:pStyle w:val="Header"/>
      <w:tabs>
        <w:tab w:val="clear" w:pos="4320"/>
        <w:tab w:val="clear" w:pos="8640"/>
      </w:tabs>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461E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39E56F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BB35A4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54161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C2674D7"/>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2187E3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61B3838"/>
    <w:multiLevelType w:val="singleLevel"/>
    <w:tmpl w:val="E6D0774A"/>
    <w:lvl w:ilvl="0">
      <w:start w:val="4"/>
      <w:numFmt w:val="decimal"/>
      <w:lvlText w:val="%1."/>
      <w:lvlJc w:val="left"/>
      <w:pPr>
        <w:tabs>
          <w:tab w:val="num" w:pos="1440"/>
        </w:tabs>
        <w:ind w:left="1440" w:hanging="720"/>
      </w:pPr>
      <w:rPr>
        <w:rFonts w:hint="default"/>
      </w:rPr>
    </w:lvl>
  </w:abstractNum>
  <w:abstractNum w:abstractNumId="7" w15:restartNumberingAfterBreak="0">
    <w:nsid w:val="4F1D53DB"/>
    <w:multiLevelType w:val="singleLevel"/>
    <w:tmpl w:val="0409000F"/>
    <w:lvl w:ilvl="0">
      <w:start w:val="1"/>
      <w:numFmt w:val="decimal"/>
      <w:lvlText w:val="%1."/>
      <w:lvlJc w:val="left"/>
      <w:pPr>
        <w:tabs>
          <w:tab w:val="num" w:pos="3870"/>
        </w:tabs>
        <w:ind w:left="3870" w:hanging="360"/>
      </w:pPr>
    </w:lvl>
  </w:abstractNum>
  <w:abstractNum w:abstractNumId="8" w15:restartNumberingAfterBreak="0">
    <w:nsid w:val="59E27745"/>
    <w:multiLevelType w:val="singleLevel"/>
    <w:tmpl w:val="E6D0774A"/>
    <w:lvl w:ilvl="0">
      <w:start w:val="1"/>
      <w:numFmt w:val="decimal"/>
      <w:lvlText w:val="%1."/>
      <w:lvlJc w:val="left"/>
      <w:pPr>
        <w:tabs>
          <w:tab w:val="num" w:pos="1440"/>
        </w:tabs>
        <w:ind w:left="1440" w:hanging="720"/>
      </w:pPr>
      <w:rPr>
        <w:rFonts w:hint="default"/>
      </w:rPr>
    </w:lvl>
  </w:abstractNum>
  <w:abstractNum w:abstractNumId="9" w15:restartNumberingAfterBreak="0">
    <w:nsid w:val="5B3553B3"/>
    <w:multiLevelType w:val="singleLevel"/>
    <w:tmpl w:val="5F00FFEC"/>
    <w:lvl w:ilvl="0">
      <w:start w:val="10"/>
      <w:numFmt w:val="decimal"/>
      <w:lvlText w:val="%1."/>
      <w:lvlJc w:val="left"/>
      <w:pPr>
        <w:tabs>
          <w:tab w:val="num" w:pos="360"/>
        </w:tabs>
        <w:ind w:left="360" w:hanging="360"/>
      </w:pPr>
    </w:lvl>
  </w:abstractNum>
  <w:abstractNum w:abstractNumId="10" w15:restartNumberingAfterBreak="0">
    <w:nsid w:val="61D0304F"/>
    <w:multiLevelType w:val="singleLevel"/>
    <w:tmpl w:val="E6D0774A"/>
    <w:lvl w:ilvl="0">
      <w:start w:val="4"/>
      <w:numFmt w:val="decimal"/>
      <w:lvlText w:val="%1."/>
      <w:lvlJc w:val="left"/>
      <w:pPr>
        <w:tabs>
          <w:tab w:val="num" w:pos="1440"/>
        </w:tabs>
        <w:ind w:left="1440" w:hanging="720"/>
      </w:pPr>
      <w:rPr>
        <w:rFonts w:hint="default"/>
      </w:rPr>
    </w:lvl>
  </w:abstractNum>
  <w:abstractNum w:abstractNumId="11" w15:restartNumberingAfterBreak="0">
    <w:nsid w:val="70D1466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2E877A4"/>
    <w:multiLevelType w:val="hybridMultilevel"/>
    <w:tmpl w:val="8A1CB850"/>
    <w:lvl w:ilvl="0" w:tplc="6DDABED6">
      <w:start w:val="18"/>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47A7E"/>
    <w:multiLevelType w:val="hybridMultilevel"/>
    <w:tmpl w:val="20EAF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8"/>
  </w:num>
  <w:num w:numId="8">
    <w:abstractNumId w:val="10"/>
  </w:num>
  <w:num w:numId="9">
    <w:abstractNumId w:val="1"/>
  </w:num>
  <w:num w:numId="10">
    <w:abstractNumId w:val="7"/>
  </w:num>
  <w:num w:numId="11">
    <w:abstractNumId w:val="9"/>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1F9"/>
    <w:rsid w:val="00005CE4"/>
    <w:rsid w:val="000078F9"/>
    <w:rsid w:val="000201B7"/>
    <w:rsid w:val="00021A11"/>
    <w:rsid w:val="0003244F"/>
    <w:rsid w:val="00032F7C"/>
    <w:rsid w:val="00061513"/>
    <w:rsid w:val="00071C66"/>
    <w:rsid w:val="0008204C"/>
    <w:rsid w:val="00097796"/>
    <w:rsid w:val="000E057C"/>
    <w:rsid w:val="001017CD"/>
    <w:rsid w:val="00111781"/>
    <w:rsid w:val="001129E9"/>
    <w:rsid w:val="00112CC6"/>
    <w:rsid w:val="001447BB"/>
    <w:rsid w:val="00145CC4"/>
    <w:rsid w:val="00151DA2"/>
    <w:rsid w:val="00155692"/>
    <w:rsid w:val="00164B77"/>
    <w:rsid w:val="0017387D"/>
    <w:rsid w:val="00175322"/>
    <w:rsid w:val="00177793"/>
    <w:rsid w:val="00181CCC"/>
    <w:rsid w:val="00195B07"/>
    <w:rsid w:val="001A0137"/>
    <w:rsid w:val="002046BA"/>
    <w:rsid w:val="00206459"/>
    <w:rsid w:val="0021449C"/>
    <w:rsid w:val="002171BE"/>
    <w:rsid w:val="0022385E"/>
    <w:rsid w:val="002B7B1E"/>
    <w:rsid w:val="002C0B28"/>
    <w:rsid w:val="002C3DFA"/>
    <w:rsid w:val="002E0DCC"/>
    <w:rsid w:val="002F4983"/>
    <w:rsid w:val="002F592B"/>
    <w:rsid w:val="003117AF"/>
    <w:rsid w:val="00346B8C"/>
    <w:rsid w:val="0035454A"/>
    <w:rsid w:val="003666CC"/>
    <w:rsid w:val="00382EA3"/>
    <w:rsid w:val="00386F89"/>
    <w:rsid w:val="003921D5"/>
    <w:rsid w:val="00392FFD"/>
    <w:rsid w:val="003B5BA2"/>
    <w:rsid w:val="003B60FB"/>
    <w:rsid w:val="003C3D59"/>
    <w:rsid w:val="003D4795"/>
    <w:rsid w:val="003F20DA"/>
    <w:rsid w:val="003F50E1"/>
    <w:rsid w:val="00407E29"/>
    <w:rsid w:val="004244C1"/>
    <w:rsid w:val="00427CFE"/>
    <w:rsid w:val="004377DE"/>
    <w:rsid w:val="004534CD"/>
    <w:rsid w:val="00467F70"/>
    <w:rsid w:val="0047725C"/>
    <w:rsid w:val="00495FB2"/>
    <w:rsid w:val="004977AF"/>
    <w:rsid w:val="004A1D6F"/>
    <w:rsid w:val="004B3BE5"/>
    <w:rsid w:val="004B7AF2"/>
    <w:rsid w:val="004C0C21"/>
    <w:rsid w:val="004C4B5A"/>
    <w:rsid w:val="004D1461"/>
    <w:rsid w:val="004D29EA"/>
    <w:rsid w:val="004D3AEE"/>
    <w:rsid w:val="004D409A"/>
    <w:rsid w:val="004D4F44"/>
    <w:rsid w:val="004E1722"/>
    <w:rsid w:val="004F0576"/>
    <w:rsid w:val="00501468"/>
    <w:rsid w:val="00521B2B"/>
    <w:rsid w:val="005254F4"/>
    <w:rsid w:val="00534FB3"/>
    <w:rsid w:val="005572A8"/>
    <w:rsid w:val="00596C80"/>
    <w:rsid w:val="005B3AFD"/>
    <w:rsid w:val="005F738D"/>
    <w:rsid w:val="005F763A"/>
    <w:rsid w:val="005F7893"/>
    <w:rsid w:val="006161DD"/>
    <w:rsid w:val="00624E35"/>
    <w:rsid w:val="00625D28"/>
    <w:rsid w:val="00655895"/>
    <w:rsid w:val="0065706A"/>
    <w:rsid w:val="006574E7"/>
    <w:rsid w:val="006602B1"/>
    <w:rsid w:val="006745D5"/>
    <w:rsid w:val="00686B85"/>
    <w:rsid w:val="00695C1E"/>
    <w:rsid w:val="006A29BD"/>
    <w:rsid w:val="006B2808"/>
    <w:rsid w:val="006C3C2F"/>
    <w:rsid w:val="006D10F1"/>
    <w:rsid w:val="006E0119"/>
    <w:rsid w:val="006E4D69"/>
    <w:rsid w:val="00702FB6"/>
    <w:rsid w:val="00716867"/>
    <w:rsid w:val="00727BE5"/>
    <w:rsid w:val="00740769"/>
    <w:rsid w:val="0074269E"/>
    <w:rsid w:val="00753D82"/>
    <w:rsid w:val="00755490"/>
    <w:rsid w:val="00777899"/>
    <w:rsid w:val="007A443F"/>
    <w:rsid w:val="007A66FC"/>
    <w:rsid w:val="007C2E8C"/>
    <w:rsid w:val="00811561"/>
    <w:rsid w:val="008142D2"/>
    <w:rsid w:val="00825A99"/>
    <w:rsid w:val="00853A01"/>
    <w:rsid w:val="008A3857"/>
    <w:rsid w:val="008C0059"/>
    <w:rsid w:val="008D1318"/>
    <w:rsid w:val="008D2A15"/>
    <w:rsid w:val="008E0D67"/>
    <w:rsid w:val="00917AAC"/>
    <w:rsid w:val="009347F2"/>
    <w:rsid w:val="009501D3"/>
    <w:rsid w:val="0095385C"/>
    <w:rsid w:val="00966E5D"/>
    <w:rsid w:val="00985192"/>
    <w:rsid w:val="009B1E59"/>
    <w:rsid w:val="00A05C2E"/>
    <w:rsid w:val="00A1464E"/>
    <w:rsid w:val="00A22434"/>
    <w:rsid w:val="00A25C4E"/>
    <w:rsid w:val="00A27F14"/>
    <w:rsid w:val="00A354EC"/>
    <w:rsid w:val="00A44A75"/>
    <w:rsid w:val="00A503B3"/>
    <w:rsid w:val="00A54D7C"/>
    <w:rsid w:val="00A54EAC"/>
    <w:rsid w:val="00A76E0B"/>
    <w:rsid w:val="00A90708"/>
    <w:rsid w:val="00A957EB"/>
    <w:rsid w:val="00AA31F9"/>
    <w:rsid w:val="00AC13F6"/>
    <w:rsid w:val="00AD7529"/>
    <w:rsid w:val="00AE4A5B"/>
    <w:rsid w:val="00AE63CD"/>
    <w:rsid w:val="00AF50E7"/>
    <w:rsid w:val="00AF6979"/>
    <w:rsid w:val="00B10EE3"/>
    <w:rsid w:val="00B332CB"/>
    <w:rsid w:val="00B6400F"/>
    <w:rsid w:val="00B656C2"/>
    <w:rsid w:val="00BA1C66"/>
    <w:rsid w:val="00BB2213"/>
    <w:rsid w:val="00BB39CF"/>
    <w:rsid w:val="00BC3219"/>
    <w:rsid w:val="00BC544B"/>
    <w:rsid w:val="00BE781F"/>
    <w:rsid w:val="00BF035D"/>
    <w:rsid w:val="00BF75E6"/>
    <w:rsid w:val="00C0019E"/>
    <w:rsid w:val="00C07C40"/>
    <w:rsid w:val="00C1416A"/>
    <w:rsid w:val="00C17AAE"/>
    <w:rsid w:val="00C30395"/>
    <w:rsid w:val="00C346CB"/>
    <w:rsid w:val="00C35A1B"/>
    <w:rsid w:val="00C44F81"/>
    <w:rsid w:val="00C462C1"/>
    <w:rsid w:val="00C571FE"/>
    <w:rsid w:val="00C600CA"/>
    <w:rsid w:val="00C714CE"/>
    <w:rsid w:val="00C77813"/>
    <w:rsid w:val="00C822AB"/>
    <w:rsid w:val="00C85BCF"/>
    <w:rsid w:val="00CA02B1"/>
    <w:rsid w:val="00CF3F88"/>
    <w:rsid w:val="00D1311A"/>
    <w:rsid w:val="00D435DA"/>
    <w:rsid w:val="00D454D0"/>
    <w:rsid w:val="00D54FDE"/>
    <w:rsid w:val="00D66290"/>
    <w:rsid w:val="00D6675D"/>
    <w:rsid w:val="00D814AE"/>
    <w:rsid w:val="00D814C9"/>
    <w:rsid w:val="00DD0A28"/>
    <w:rsid w:val="00DD1558"/>
    <w:rsid w:val="00DE6A5A"/>
    <w:rsid w:val="00DF76C8"/>
    <w:rsid w:val="00DF7F63"/>
    <w:rsid w:val="00E00C8C"/>
    <w:rsid w:val="00E0215E"/>
    <w:rsid w:val="00E04390"/>
    <w:rsid w:val="00E13C67"/>
    <w:rsid w:val="00E13FF7"/>
    <w:rsid w:val="00E202B6"/>
    <w:rsid w:val="00E30056"/>
    <w:rsid w:val="00E7217D"/>
    <w:rsid w:val="00EA280B"/>
    <w:rsid w:val="00EF318E"/>
    <w:rsid w:val="00EF7F65"/>
    <w:rsid w:val="00F01A1A"/>
    <w:rsid w:val="00F04B67"/>
    <w:rsid w:val="00F04F35"/>
    <w:rsid w:val="00F0612C"/>
    <w:rsid w:val="00F10077"/>
    <w:rsid w:val="00F16498"/>
    <w:rsid w:val="00F3101A"/>
    <w:rsid w:val="00F37466"/>
    <w:rsid w:val="00F42927"/>
    <w:rsid w:val="00F4313C"/>
    <w:rsid w:val="00F454EE"/>
    <w:rsid w:val="00F62F5E"/>
    <w:rsid w:val="00F7025F"/>
    <w:rsid w:val="00F75D19"/>
    <w:rsid w:val="00F83675"/>
    <w:rsid w:val="00F86E66"/>
    <w:rsid w:val="00FC14B8"/>
    <w:rsid w:val="00FE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C5EC2"/>
  <w15:docId w15:val="{D2479EB1-9C1F-40B7-9B0D-159A8801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31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D1318"/>
  </w:style>
  <w:style w:type="paragraph" w:styleId="Header">
    <w:name w:val="header"/>
    <w:basedOn w:val="Normal"/>
    <w:rsid w:val="008D1318"/>
    <w:pPr>
      <w:tabs>
        <w:tab w:val="center" w:pos="4320"/>
        <w:tab w:val="right" w:pos="8640"/>
      </w:tabs>
    </w:pPr>
  </w:style>
  <w:style w:type="paragraph" w:styleId="Footer">
    <w:name w:val="footer"/>
    <w:basedOn w:val="Normal"/>
    <w:link w:val="FooterChar"/>
    <w:uiPriority w:val="99"/>
    <w:rsid w:val="008D1318"/>
    <w:pPr>
      <w:tabs>
        <w:tab w:val="center" w:pos="4320"/>
        <w:tab w:val="right" w:pos="8640"/>
      </w:tabs>
    </w:pPr>
  </w:style>
  <w:style w:type="character" w:styleId="PageNumber">
    <w:name w:val="page number"/>
    <w:basedOn w:val="DefaultParagraphFont"/>
    <w:rsid w:val="008D1318"/>
  </w:style>
  <w:style w:type="paragraph" w:styleId="BodyTextIndent">
    <w:name w:val="Body Text Indent"/>
    <w:basedOn w:val="Normal"/>
    <w:rsid w:val="008D1318"/>
    <w:pPr>
      <w:tabs>
        <w:tab w:val="left" w:pos="-1440"/>
      </w:tabs>
      <w:ind w:left="1440" w:hanging="1440"/>
      <w:jc w:val="both"/>
    </w:pPr>
  </w:style>
  <w:style w:type="paragraph" w:styleId="BodyTextIndent2">
    <w:name w:val="Body Text Indent 2"/>
    <w:basedOn w:val="Normal"/>
    <w:rsid w:val="008D1318"/>
    <w:pPr>
      <w:ind w:left="1440" w:hanging="720"/>
    </w:pPr>
    <w:rPr>
      <w:b/>
    </w:rPr>
  </w:style>
  <w:style w:type="paragraph" w:styleId="DocumentMap">
    <w:name w:val="Document Map"/>
    <w:basedOn w:val="Normal"/>
    <w:semiHidden/>
    <w:rsid w:val="008D1318"/>
    <w:pPr>
      <w:shd w:val="clear" w:color="auto" w:fill="000080"/>
    </w:pPr>
    <w:rPr>
      <w:rFonts w:ascii="Tahoma" w:hAnsi="Tahoma"/>
    </w:rPr>
  </w:style>
  <w:style w:type="paragraph" w:styleId="ListParagraph">
    <w:name w:val="List Paragraph"/>
    <w:basedOn w:val="Normal"/>
    <w:uiPriority w:val="34"/>
    <w:qFormat/>
    <w:rsid w:val="001447BB"/>
    <w:pPr>
      <w:ind w:left="720"/>
      <w:contextualSpacing/>
    </w:pPr>
  </w:style>
  <w:style w:type="paragraph" w:styleId="BalloonText">
    <w:name w:val="Balloon Text"/>
    <w:basedOn w:val="Normal"/>
    <w:link w:val="BalloonTextChar"/>
    <w:rsid w:val="001447BB"/>
    <w:rPr>
      <w:rFonts w:ascii="Tahoma" w:hAnsi="Tahoma" w:cs="Tahoma"/>
      <w:sz w:val="16"/>
      <w:szCs w:val="16"/>
    </w:rPr>
  </w:style>
  <w:style w:type="character" w:customStyle="1" w:styleId="BalloonTextChar">
    <w:name w:val="Balloon Text Char"/>
    <w:basedOn w:val="DefaultParagraphFont"/>
    <w:link w:val="BalloonText"/>
    <w:rsid w:val="001447BB"/>
    <w:rPr>
      <w:rFonts w:ascii="Tahoma" w:hAnsi="Tahoma" w:cs="Tahoma"/>
      <w:snapToGrid w:val="0"/>
      <w:sz w:val="16"/>
      <w:szCs w:val="16"/>
    </w:rPr>
  </w:style>
  <w:style w:type="character" w:customStyle="1" w:styleId="FooterChar">
    <w:name w:val="Footer Char"/>
    <w:basedOn w:val="DefaultParagraphFont"/>
    <w:link w:val="Footer"/>
    <w:uiPriority w:val="99"/>
    <w:rsid w:val="004977AF"/>
    <w:rPr>
      <w:snapToGrid w:val="0"/>
      <w:sz w:val="24"/>
    </w:rPr>
  </w:style>
  <w:style w:type="paragraph" w:styleId="BodyText">
    <w:name w:val="Body Text"/>
    <w:basedOn w:val="Normal"/>
    <w:link w:val="BodyTextChar"/>
    <w:rsid w:val="00427CFE"/>
    <w:pPr>
      <w:spacing w:after="120"/>
    </w:pPr>
  </w:style>
  <w:style w:type="character" w:customStyle="1" w:styleId="BodyTextChar">
    <w:name w:val="Body Text Char"/>
    <w:basedOn w:val="DefaultParagraphFont"/>
    <w:link w:val="BodyText"/>
    <w:rsid w:val="00427CFE"/>
    <w:rPr>
      <w:snapToGrid w:val="0"/>
      <w:sz w:val="24"/>
    </w:rPr>
  </w:style>
  <w:style w:type="paragraph" w:styleId="PlainText">
    <w:name w:val="Plain Text"/>
    <w:basedOn w:val="Normal"/>
    <w:link w:val="PlainTextChar"/>
    <w:uiPriority w:val="99"/>
    <w:rsid w:val="00427CFE"/>
    <w:pPr>
      <w:widowControl/>
      <w:spacing w:after="120"/>
      <w:jc w:val="both"/>
    </w:pPr>
    <w:rPr>
      <w:snapToGrid/>
    </w:rPr>
  </w:style>
  <w:style w:type="character" w:customStyle="1" w:styleId="PlainTextChar">
    <w:name w:val="Plain Text Char"/>
    <w:basedOn w:val="DefaultParagraphFont"/>
    <w:link w:val="PlainText"/>
    <w:uiPriority w:val="99"/>
    <w:rsid w:val="00427CFE"/>
    <w:rPr>
      <w:sz w:val="24"/>
    </w:rPr>
  </w:style>
  <w:style w:type="character" w:styleId="CommentReference">
    <w:name w:val="annotation reference"/>
    <w:basedOn w:val="DefaultParagraphFont"/>
    <w:semiHidden/>
    <w:unhideWhenUsed/>
    <w:rsid w:val="00A90708"/>
    <w:rPr>
      <w:sz w:val="18"/>
      <w:szCs w:val="18"/>
    </w:rPr>
  </w:style>
  <w:style w:type="paragraph" w:styleId="CommentText">
    <w:name w:val="annotation text"/>
    <w:basedOn w:val="Normal"/>
    <w:link w:val="CommentTextChar"/>
    <w:semiHidden/>
    <w:unhideWhenUsed/>
    <w:rsid w:val="00A90708"/>
    <w:rPr>
      <w:szCs w:val="24"/>
    </w:rPr>
  </w:style>
  <w:style w:type="character" w:customStyle="1" w:styleId="CommentTextChar">
    <w:name w:val="Comment Text Char"/>
    <w:basedOn w:val="DefaultParagraphFont"/>
    <w:link w:val="CommentText"/>
    <w:semiHidden/>
    <w:rsid w:val="00A90708"/>
    <w:rPr>
      <w:snapToGrid w:val="0"/>
      <w:sz w:val="24"/>
      <w:szCs w:val="24"/>
    </w:rPr>
  </w:style>
  <w:style w:type="paragraph" w:styleId="CommentSubject">
    <w:name w:val="annotation subject"/>
    <w:basedOn w:val="CommentText"/>
    <w:next w:val="CommentText"/>
    <w:link w:val="CommentSubjectChar"/>
    <w:semiHidden/>
    <w:unhideWhenUsed/>
    <w:rsid w:val="00A90708"/>
    <w:rPr>
      <w:b/>
      <w:bCs/>
      <w:sz w:val="20"/>
      <w:szCs w:val="20"/>
    </w:rPr>
  </w:style>
  <w:style w:type="character" w:customStyle="1" w:styleId="CommentSubjectChar">
    <w:name w:val="Comment Subject Char"/>
    <w:basedOn w:val="CommentTextChar"/>
    <w:link w:val="CommentSubject"/>
    <w:semiHidden/>
    <w:rsid w:val="00A90708"/>
    <w:rPr>
      <w:b/>
      <w:bCs/>
      <w:snapToGrid w:val="0"/>
      <w:sz w:val="24"/>
      <w:szCs w:val="24"/>
    </w:rPr>
  </w:style>
  <w:style w:type="character" w:styleId="Hyperlink">
    <w:name w:val="Hyperlink"/>
    <w:basedOn w:val="DefaultParagraphFont"/>
    <w:unhideWhenUsed/>
    <w:rsid w:val="00A503B3"/>
    <w:rPr>
      <w:color w:val="0000FF" w:themeColor="hyperlink"/>
      <w:u w:val="single"/>
    </w:rPr>
  </w:style>
  <w:style w:type="character" w:styleId="UnresolvedMention">
    <w:name w:val="Unresolved Mention"/>
    <w:basedOn w:val="DefaultParagraphFont"/>
    <w:uiPriority w:val="99"/>
    <w:semiHidden/>
    <w:unhideWhenUsed/>
    <w:rsid w:val="00A50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274665">
      <w:bodyDiv w:val="1"/>
      <w:marLeft w:val="0"/>
      <w:marRight w:val="0"/>
      <w:marTop w:val="0"/>
      <w:marBottom w:val="0"/>
      <w:divBdr>
        <w:top w:val="none" w:sz="0" w:space="0" w:color="auto"/>
        <w:left w:val="none" w:sz="0" w:space="0" w:color="auto"/>
        <w:bottom w:val="none" w:sz="0" w:space="0" w:color="auto"/>
        <w:right w:val="none" w:sz="0" w:space="0" w:color="auto"/>
      </w:divBdr>
    </w:div>
    <w:div w:id="149333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c@altagas.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hardwick@washga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EDD60358950342B522CA2047A5CB6A" ma:contentTypeVersion="2" ma:contentTypeDescription="Create a new document." ma:contentTypeScope="" ma:versionID="e818cf2e4a1dd786c2a97254f9107fd2">
  <xsd:schema xmlns:xsd="http://www.w3.org/2001/XMLSchema" xmlns:xs="http://www.w3.org/2001/XMLSchema" xmlns:p="http://schemas.microsoft.com/office/2006/metadata/properties" xmlns:ns1="http://schemas.microsoft.com/sharepoint/v3" targetNamespace="http://schemas.microsoft.com/office/2006/metadata/properties" ma:root="true" ma:fieldsID="6f8107b78c2202daa9ed619ed06e1fa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9E3E8-D6E5-47D5-A5C8-96B8F03A4886}"/>
</file>

<file path=customXml/itemProps2.xml><?xml version="1.0" encoding="utf-8"?>
<ds:datastoreItem xmlns:ds="http://schemas.openxmlformats.org/officeDocument/2006/customXml" ds:itemID="{68D19AA8-A0C4-4082-B7F6-104711CFC5A9}"/>
</file>

<file path=customXml/itemProps3.xml><?xml version="1.0" encoding="utf-8"?>
<ds:datastoreItem xmlns:ds="http://schemas.openxmlformats.org/officeDocument/2006/customXml" ds:itemID="{57FE0650-234B-40BE-A49F-362EE92BE0B4}"/>
</file>

<file path=customXml/itemProps4.xml><?xml version="1.0" encoding="utf-8"?>
<ds:datastoreItem xmlns:ds="http://schemas.openxmlformats.org/officeDocument/2006/customXml" ds:itemID="{89767274-761E-49B1-8962-606CAF8EB261}"/>
</file>

<file path=docProps/app.xml><?xml version="1.0" encoding="utf-8"?>
<Properties xmlns="http://schemas.openxmlformats.org/officeDocument/2006/extended-properties" xmlns:vt="http://schemas.openxmlformats.org/officeDocument/2006/docPropsVTypes">
  <Template>Normal</Template>
  <TotalTime>1</TotalTime>
  <Pages>6</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WASHINGTON GAS LIGHT COMPANY</vt:lpstr>
    </vt:vector>
  </TitlesOfParts>
  <Company>Washington</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Gas - NDA 2020</dc:title>
  <dc:creator>Fine, Adam B</dc:creator>
  <cp:lastModifiedBy>Legesse, Dawit</cp:lastModifiedBy>
  <cp:revision>2</cp:revision>
  <cp:lastPrinted>2012-08-07T13:56:00Z</cp:lastPrinted>
  <dcterms:created xsi:type="dcterms:W3CDTF">2021-11-18T16:28:00Z</dcterms:created>
  <dcterms:modified xsi:type="dcterms:W3CDTF">2021-11-18T16:28:00Z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0x010100F2EDD60358950342B522CA2047A5CB6A</vt:lpwstr>
  </property>
</Properties>
</file>